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450" w:after="225"/>
        <w:ind w:firstLine="1084" w:firstLineChars="300"/>
        <w:rPr>
          <w:rFonts w:asciiTheme="majorEastAsia" w:hAnsiTheme="majorEastAsia" w:eastAsiaTheme="majorEastAsia"/>
          <w:sz w:val="32"/>
          <w:szCs w:val="40"/>
          <w:highlight w:val="none"/>
        </w:rPr>
      </w:pPr>
      <w:r>
        <w:rPr>
          <w:rFonts w:hint="eastAsia" w:cs="方正小标宋简体" w:asciiTheme="majorEastAsia" w:hAnsiTheme="majorEastAsia" w:eastAsiaTheme="majorEastAsia"/>
          <w:b/>
          <w:bCs/>
          <w:kern w:val="0"/>
          <w:sz w:val="36"/>
          <w:szCs w:val="36"/>
          <w:highlight w:val="none"/>
          <w:shd w:val="clear" w:color="auto" w:fill="FFFFFF"/>
          <w:lang w:bidi="ar"/>
        </w:rPr>
        <w:t>武夷山基地仪器设备搬迁服务采购需求</w:t>
      </w:r>
      <w:r>
        <w:rPr>
          <w:rFonts w:hint="eastAsia" w:asciiTheme="majorEastAsia" w:hAnsiTheme="majorEastAsia" w:eastAsiaTheme="majorEastAsia"/>
          <w:sz w:val="32"/>
          <w:szCs w:val="40"/>
          <w:highlight w:val="none"/>
        </w:rPr>
        <w:t xml:space="preserve">                 </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highlight w:val="none"/>
          <w:shd w:val="clear" w:color="auto" w:fill="FFFFFF"/>
        </w:rPr>
      </w:pPr>
      <w:bookmarkStart w:id="0" w:name="OLE_LINK1"/>
      <w:r>
        <w:rPr>
          <w:rStyle w:val="11"/>
          <w:rFonts w:hint="eastAsia" w:ascii="Times New Roman" w:hAnsi="Times New Roman" w:eastAsia="仿宋_GB2312"/>
          <w:sz w:val="32"/>
          <w:szCs w:val="32"/>
          <w:highlight w:val="none"/>
          <w:shd w:val="clear" w:color="auto" w:fill="FFFFFF"/>
        </w:rPr>
        <w:t>一、</w:t>
      </w:r>
      <w:r>
        <w:rPr>
          <w:rStyle w:val="11"/>
          <w:rFonts w:ascii="Times New Roman" w:hAnsi="Times New Roman" w:eastAsia="仿宋_GB2312"/>
          <w:sz w:val="32"/>
          <w:szCs w:val="32"/>
          <w:highlight w:val="none"/>
          <w:shd w:val="clear" w:color="auto" w:fill="FFFFFF"/>
        </w:rPr>
        <w:t>项目概况：</w:t>
      </w:r>
    </w:p>
    <w:p>
      <w:pPr>
        <w:pStyle w:val="15"/>
        <w:spacing w:line="360" w:lineRule="auto"/>
        <w:rPr>
          <w:spacing w:val="7"/>
          <w:sz w:val="24"/>
          <w:szCs w:val="24"/>
          <w:highlight w:val="none"/>
          <w:lang w:eastAsia="zh-CN"/>
        </w:rPr>
      </w:pPr>
      <w:r>
        <w:rPr>
          <w:rFonts w:hint="eastAsia"/>
          <w:b/>
          <w:bCs/>
          <w:spacing w:val="5"/>
          <w:sz w:val="24"/>
          <w:szCs w:val="24"/>
          <w:highlight w:val="none"/>
          <w:lang w:eastAsia="zh-CN"/>
        </w:rPr>
        <w:t>1.服务范围：</w:t>
      </w:r>
      <w:r>
        <w:rPr>
          <w:rFonts w:hint="eastAsia"/>
          <w:spacing w:val="6"/>
          <w:sz w:val="24"/>
          <w:szCs w:val="24"/>
          <w:highlight w:val="none"/>
          <w:lang w:eastAsia="zh-CN"/>
        </w:rPr>
        <w:t>武夷山基地仪器设备搬迁前的状态确认、拆卸及包装、搬运、安装、调试及性能验证与搬</w:t>
      </w:r>
      <w:r>
        <w:rPr>
          <w:rFonts w:hint="eastAsia"/>
          <w:spacing w:val="7"/>
          <w:sz w:val="24"/>
          <w:szCs w:val="24"/>
          <w:highlight w:val="none"/>
          <w:lang w:eastAsia="zh-CN"/>
        </w:rPr>
        <w:t>迁后的状态确认。具体仪器设备详细清单见项目需要，搬迁范围在不违背遴选文件要求的前提下，按照甲方需求做到“应搬尽搬”。</w:t>
      </w:r>
    </w:p>
    <w:p>
      <w:pPr>
        <w:pStyle w:val="15"/>
        <w:spacing w:line="360" w:lineRule="auto"/>
        <w:rPr>
          <w:spacing w:val="7"/>
          <w:sz w:val="24"/>
          <w:szCs w:val="24"/>
          <w:highlight w:val="none"/>
          <w:lang w:eastAsia="zh-CN"/>
        </w:rPr>
      </w:pPr>
      <w:r>
        <w:rPr>
          <w:rFonts w:hint="eastAsia"/>
          <w:b/>
          <w:bCs/>
          <w:spacing w:val="5"/>
          <w:sz w:val="24"/>
          <w:szCs w:val="24"/>
          <w:highlight w:val="none"/>
          <w:lang w:eastAsia="zh-CN"/>
        </w:rPr>
        <w:t>2.搬迁步骤：</w:t>
      </w:r>
      <w:r>
        <w:rPr>
          <w:rFonts w:hint="eastAsia"/>
          <w:spacing w:val="7"/>
          <w:sz w:val="24"/>
          <w:szCs w:val="24"/>
          <w:highlight w:val="none"/>
          <w:lang w:eastAsia="zh-CN"/>
        </w:rPr>
        <w:t>搬迁步骤分为两个阶段执行：第一步：将设备搬迁至招标人指定的临时存放地点，完成初步运输和存储。第二步：待</w:t>
      </w:r>
      <w:r>
        <w:rPr>
          <w:rFonts w:hint="eastAsia"/>
          <w:spacing w:val="7"/>
          <w:sz w:val="24"/>
          <w:szCs w:val="24"/>
          <w:highlight w:val="none"/>
          <w:lang w:val="en-US" w:eastAsia="zh-CN"/>
        </w:rPr>
        <w:t>招标人</w:t>
      </w:r>
      <w:r>
        <w:rPr>
          <w:rFonts w:hint="eastAsia"/>
          <w:spacing w:val="7"/>
          <w:sz w:val="24"/>
          <w:szCs w:val="24"/>
          <w:highlight w:val="none"/>
          <w:lang w:eastAsia="zh-CN"/>
        </w:rPr>
        <w:t>通知后，再将设备从</w:t>
      </w:r>
      <w:r>
        <w:rPr>
          <w:rFonts w:hint="eastAsia"/>
          <w:spacing w:val="7"/>
          <w:sz w:val="24"/>
          <w:szCs w:val="24"/>
          <w:highlight w:val="none"/>
          <w:lang w:val="en-US" w:eastAsia="zh-CN"/>
        </w:rPr>
        <w:t>临时</w:t>
      </w:r>
      <w:r>
        <w:rPr>
          <w:rFonts w:hint="eastAsia"/>
          <w:spacing w:val="7"/>
          <w:sz w:val="24"/>
          <w:szCs w:val="24"/>
          <w:highlight w:val="none"/>
          <w:lang w:eastAsia="zh-CN"/>
        </w:rPr>
        <w:t>存放点搬运至实际使用地点，进行安装调试和性能验证。</w:t>
      </w:r>
    </w:p>
    <w:p>
      <w:pPr>
        <w:pStyle w:val="15"/>
        <w:spacing w:line="360" w:lineRule="auto"/>
        <w:rPr>
          <w:spacing w:val="8"/>
          <w:sz w:val="24"/>
          <w:szCs w:val="24"/>
          <w:highlight w:val="none"/>
          <w:lang w:eastAsia="zh-CN"/>
        </w:rPr>
      </w:pPr>
      <w:r>
        <w:rPr>
          <w:rFonts w:hint="eastAsia"/>
          <w:b/>
          <w:bCs/>
          <w:spacing w:val="2"/>
          <w:sz w:val="24"/>
          <w:szCs w:val="24"/>
          <w:highlight w:val="none"/>
          <w:lang w:eastAsia="zh-CN"/>
        </w:rPr>
        <w:t>3.服务时间</w:t>
      </w:r>
      <w:r>
        <w:rPr>
          <w:rFonts w:hint="eastAsia"/>
          <w:spacing w:val="2"/>
          <w:sz w:val="24"/>
          <w:szCs w:val="24"/>
          <w:highlight w:val="none"/>
          <w:lang w:eastAsia="zh-CN"/>
        </w:rPr>
        <w:t>：</w:t>
      </w:r>
      <w:r>
        <w:rPr>
          <w:rFonts w:hint="eastAsia"/>
          <w:spacing w:val="7"/>
          <w:sz w:val="24"/>
          <w:szCs w:val="24"/>
          <w:highlight w:val="none"/>
          <w:lang w:eastAsia="zh-CN"/>
        </w:rPr>
        <w:t>搬迁第一阶段</w:t>
      </w:r>
      <w:r>
        <w:rPr>
          <w:rFonts w:hint="eastAsia"/>
          <w:spacing w:val="2"/>
          <w:sz w:val="24"/>
          <w:szCs w:val="24"/>
          <w:highlight w:val="none"/>
          <w:lang w:eastAsia="zh-CN"/>
        </w:rPr>
        <w:t>服务时间期限为</w:t>
      </w:r>
      <w:r>
        <w:rPr>
          <w:rFonts w:hint="eastAsia"/>
          <w:spacing w:val="2"/>
          <w:sz w:val="24"/>
          <w:szCs w:val="24"/>
          <w:highlight w:val="none"/>
          <w:lang w:val="en-US" w:eastAsia="zh-CN"/>
        </w:rPr>
        <w:t>10个工作日</w:t>
      </w:r>
      <w:r>
        <w:rPr>
          <w:rFonts w:hint="eastAsia"/>
          <w:spacing w:val="2"/>
          <w:sz w:val="24"/>
          <w:szCs w:val="24"/>
          <w:highlight w:val="none"/>
          <w:lang w:eastAsia="zh-CN"/>
        </w:rPr>
        <w:t>，重新确认物品和仪器设备状态，进行专业包装，登记入档，获得招标人确认后，搬迁至指定临时存放地点；</w:t>
      </w:r>
      <w:r>
        <w:rPr>
          <w:rFonts w:hint="eastAsia"/>
          <w:spacing w:val="7"/>
          <w:sz w:val="24"/>
          <w:szCs w:val="24"/>
          <w:highlight w:val="none"/>
          <w:lang w:eastAsia="zh-CN"/>
        </w:rPr>
        <w:t>搬迁第二阶段</w:t>
      </w:r>
      <w:r>
        <w:rPr>
          <w:rFonts w:hint="eastAsia"/>
          <w:spacing w:val="2"/>
          <w:sz w:val="24"/>
          <w:szCs w:val="24"/>
          <w:highlight w:val="none"/>
          <w:lang w:eastAsia="zh-CN"/>
        </w:rPr>
        <w:t>服务时间期限为</w:t>
      </w:r>
      <w:r>
        <w:rPr>
          <w:rFonts w:hint="eastAsia"/>
          <w:spacing w:val="2"/>
          <w:sz w:val="24"/>
          <w:szCs w:val="24"/>
          <w:highlight w:val="none"/>
          <w:lang w:val="en-US" w:eastAsia="zh-CN"/>
        </w:rPr>
        <w:t>7个工作日</w:t>
      </w:r>
      <w:r>
        <w:rPr>
          <w:rFonts w:hint="eastAsia"/>
          <w:spacing w:val="2"/>
          <w:sz w:val="24"/>
          <w:szCs w:val="24"/>
          <w:highlight w:val="none"/>
          <w:lang w:eastAsia="zh-CN"/>
        </w:rPr>
        <w:t>，</w:t>
      </w:r>
      <w:r>
        <w:rPr>
          <w:rFonts w:hint="eastAsia"/>
          <w:spacing w:val="7"/>
          <w:sz w:val="24"/>
          <w:szCs w:val="24"/>
          <w:highlight w:val="none"/>
          <w:lang w:eastAsia="zh-CN"/>
        </w:rPr>
        <w:t>将设备从临时存放点搬运至实际使用地点，进行安装调试和性能验证，完成项目验收，移交搬迁档案</w:t>
      </w:r>
      <w:r>
        <w:rPr>
          <w:rFonts w:hint="eastAsia"/>
          <w:spacing w:val="9"/>
          <w:sz w:val="24"/>
          <w:szCs w:val="24"/>
          <w:highlight w:val="none"/>
          <w:lang w:eastAsia="zh-CN"/>
        </w:rPr>
        <w:t>；搬迁工作总时间约为</w:t>
      </w:r>
      <w:r>
        <w:rPr>
          <w:rFonts w:hint="eastAsia"/>
          <w:spacing w:val="9"/>
          <w:sz w:val="24"/>
          <w:szCs w:val="24"/>
          <w:highlight w:val="none"/>
          <w:lang w:val="en-US" w:eastAsia="zh-CN"/>
        </w:rPr>
        <w:t>17</w:t>
      </w:r>
      <w:bookmarkStart w:id="1" w:name="_GoBack"/>
      <w:bookmarkEnd w:id="1"/>
      <w:r>
        <w:rPr>
          <w:rFonts w:hint="eastAsia"/>
          <w:spacing w:val="2"/>
          <w:sz w:val="24"/>
          <w:szCs w:val="24"/>
          <w:highlight w:val="none"/>
          <w:lang w:val="en-US" w:eastAsia="zh-CN"/>
        </w:rPr>
        <w:t>个工作日</w:t>
      </w:r>
      <w:r>
        <w:rPr>
          <w:rFonts w:hint="eastAsia"/>
          <w:spacing w:val="8"/>
          <w:sz w:val="24"/>
          <w:szCs w:val="24"/>
          <w:highlight w:val="none"/>
          <w:lang w:eastAsia="zh-CN"/>
        </w:rPr>
        <w:t>。</w:t>
      </w:r>
    </w:p>
    <w:p>
      <w:pPr>
        <w:pStyle w:val="7"/>
        <w:widowControl/>
        <w:spacing w:beforeAutospacing="0" w:afterAutospacing="0" w:line="560" w:lineRule="exact"/>
        <w:rPr>
          <w:rStyle w:val="11"/>
          <w:rFonts w:ascii="Times New Roman" w:hAnsi="Times New Roman" w:eastAsia="仿宋_GB2312"/>
          <w:bCs/>
          <w:kern w:val="2"/>
          <w:sz w:val="32"/>
          <w:szCs w:val="32"/>
          <w:highlight w:val="none"/>
          <w:shd w:val="clear" w:color="auto" w:fill="FFFFFF"/>
        </w:rPr>
      </w:pPr>
      <w:r>
        <w:rPr>
          <w:rFonts w:hint="eastAsia"/>
          <w:b/>
          <w:bCs/>
          <w:spacing w:val="7"/>
          <w:highlight w:val="none"/>
        </w:rPr>
        <w:t>4.</w:t>
      </w:r>
      <w:r>
        <w:rPr>
          <w:rFonts w:hint="eastAsia" w:ascii="宋体" w:hAnsi="宋体" w:eastAsia="宋体" w:cs="宋体"/>
          <w:b/>
          <w:spacing w:val="2"/>
          <w:highlight w:val="none"/>
        </w:rPr>
        <w:t>搬迁地点:</w:t>
      </w:r>
    </w:p>
    <w:p>
      <w:pPr>
        <w:pStyle w:val="15"/>
        <w:spacing w:line="360" w:lineRule="auto"/>
        <w:ind w:firstLine="508" w:firstLineChars="200"/>
        <w:rPr>
          <w:spacing w:val="7"/>
          <w:sz w:val="24"/>
          <w:szCs w:val="24"/>
          <w:highlight w:val="none"/>
          <w:lang w:eastAsia="zh-CN"/>
        </w:rPr>
      </w:pPr>
      <w:r>
        <w:rPr>
          <w:rFonts w:hint="eastAsia"/>
          <w:spacing w:val="7"/>
          <w:sz w:val="24"/>
          <w:szCs w:val="24"/>
          <w:highlight w:val="none"/>
          <w:lang w:eastAsia="zh-CN"/>
        </w:rPr>
        <w:t>原址：</w:t>
      </w:r>
      <w:r>
        <w:rPr>
          <w:spacing w:val="7"/>
          <w:sz w:val="24"/>
          <w:szCs w:val="24"/>
          <w:highlight w:val="none"/>
          <w:lang w:eastAsia="zh-CN"/>
        </w:rPr>
        <w:t>武夷山市新丰街道迎宾路中段原武夷山市茶叶产品质量检验中心</w:t>
      </w:r>
      <w:r>
        <w:rPr>
          <w:rFonts w:hint="eastAsia"/>
          <w:spacing w:val="7"/>
          <w:sz w:val="24"/>
          <w:szCs w:val="24"/>
          <w:highlight w:val="none"/>
          <w:lang w:eastAsia="zh-CN"/>
        </w:rPr>
        <w:t>（无电梯）</w:t>
      </w:r>
    </w:p>
    <w:p>
      <w:pPr>
        <w:pStyle w:val="15"/>
        <w:spacing w:line="360" w:lineRule="auto"/>
        <w:ind w:firstLine="508" w:firstLineChars="200"/>
        <w:rPr>
          <w:spacing w:val="7"/>
          <w:sz w:val="24"/>
          <w:szCs w:val="24"/>
          <w:highlight w:val="none"/>
          <w:lang w:eastAsia="zh-CN"/>
        </w:rPr>
      </w:pPr>
      <w:r>
        <w:rPr>
          <w:rFonts w:hint="eastAsia"/>
          <w:spacing w:val="7"/>
          <w:sz w:val="24"/>
          <w:szCs w:val="24"/>
          <w:highlight w:val="none"/>
          <w:lang w:eastAsia="zh-CN"/>
        </w:rPr>
        <w:t>新址：武夷山市安国大道285号国家加工食品质量检验检测中心（福州）武夷山基地（有电梯）</w:t>
      </w:r>
    </w:p>
    <w:p>
      <w:pPr>
        <w:pStyle w:val="15"/>
        <w:spacing w:line="360" w:lineRule="auto"/>
        <w:rPr>
          <w:spacing w:val="7"/>
          <w:sz w:val="24"/>
          <w:szCs w:val="24"/>
          <w:highlight w:val="none"/>
          <w:lang w:eastAsia="zh-CN"/>
        </w:rPr>
      </w:pPr>
      <w:r>
        <w:rPr>
          <w:rFonts w:hint="eastAsia"/>
          <w:b/>
          <w:bCs/>
          <w:spacing w:val="2"/>
          <w:sz w:val="24"/>
          <w:szCs w:val="24"/>
          <w:highlight w:val="none"/>
          <w:lang w:eastAsia="zh-CN"/>
        </w:rPr>
        <w:t>5.预算：</w:t>
      </w:r>
      <w:r>
        <w:rPr>
          <w:rFonts w:hint="eastAsia"/>
          <w:spacing w:val="7"/>
          <w:sz w:val="24"/>
          <w:szCs w:val="24"/>
          <w:highlight w:val="none"/>
          <w:lang w:eastAsia="zh-CN"/>
        </w:rPr>
        <w:t>预算总金额为18万元。</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highlight w:val="none"/>
          <w:shd w:val="clear" w:color="auto" w:fill="FFFFFF"/>
        </w:rPr>
      </w:pPr>
      <w:r>
        <w:rPr>
          <w:rStyle w:val="11"/>
          <w:rFonts w:hint="eastAsia" w:ascii="Times New Roman" w:hAnsi="Times New Roman" w:eastAsia="仿宋_GB2312"/>
          <w:sz w:val="32"/>
          <w:szCs w:val="32"/>
          <w:highlight w:val="none"/>
          <w:shd w:val="clear" w:color="auto" w:fill="FFFFFF"/>
        </w:rPr>
        <w:t>二、技术和服务要求：</w:t>
      </w:r>
    </w:p>
    <w:p>
      <w:pPr>
        <w:pStyle w:val="15"/>
        <w:spacing w:line="360" w:lineRule="auto"/>
        <w:rPr>
          <w:b/>
          <w:bCs/>
          <w:spacing w:val="6"/>
          <w:sz w:val="24"/>
          <w:szCs w:val="24"/>
          <w:highlight w:val="none"/>
          <w:lang w:eastAsia="zh-CN"/>
        </w:rPr>
      </w:pPr>
      <w:r>
        <w:rPr>
          <w:rFonts w:hint="eastAsia"/>
          <w:b/>
          <w:bCs/>
          <w:spacing w:val="6"/>
          <w:sz w:val="24"/>
          <w:szCs w:val="24"/>
          <w:highlight w:val="none"/>
          <w:lang w:eastAsia="zh-CN"/>
        </w:rPr>
        <w:t>1.项目管理要求</w:t>
      </w:r>
    </w:p>
    <w:p>
      <w:pPr>
        <w:pStyle w:val="15"/>
        <w:spacing w:line="360" w:lineRule="auto"/>
        <w:rPr>
          <w:sz w:val="24"/>
          <w:szCs w:val="24"/>
          <w:highlight w:val="none"/>
          <w:lang w:eastAsia="zh-CN"/>
        </w:rPr>
      </w:pPr>
      <w:r>
        <w:rPr>
          <w:rFonts w:hint="eastAsia"/>
          <w:spacing w:val="6"/>
          <w:sz w:val="24"/>
          <w:szCs w:val="24"/>
          <w:highlight w:val="none"/>
          <w:lang w:eastAsia="zh-CN"/>
        </w:rPr>
        <w:t>1.1实施场地交付：项目场地可交付供应商实施，实施范围的具体位置及可交付供应商实施安排的项目实施范围，应严格依照招标</w:t>
      </w:r>
      <w:r>
        <w:rPr>
          <w:rFonts w:hint="eastAsia"/>
          <w:spacing w:val="7"/>
          <w:sz w:val="24"/>
          <w:szCs w:val="24"/>
          <w:highlight w:val="none"/>
          <w:lang w:eastAsia="zh-CN"/>
        </w:rPr>
        <w:t>人搬迁清单执行。</w:t>
      </w:r>
    </w:p>
    <w:p>
      <w:pPr>
        <w:pStyle w:val="15"/>
        <w:spacing w:line="360" w:lineRule="auto"/>
        <w:rPr>
          <w:sz w:val="24"/>
          <w:szCs w:val="24"/>
          <w:highlight w:val="none"/>
          <w:lang w:eastAsia="zh-CN"/>
        </w:rPr>
      </w:pPr>
      <w:r>
        <w:rPr>
          <w:rFonts w:hint="eastAsia"/>
          <w:spacing w:val="6"/>
          <w:sz w:val="24"/>
          <w:szCs w:val="24"/>
          <w:highlight w:val="none"/>
          <w:lang w:eastAsia="zh-CN"/>
        </w:rPr>
        <w:t>1.2作业条件：供应商须确保所派遣全部迁移相关工作人员</w:t>
      </w:r>
      <w:r>
        <w:rPr>
          <w:rFonts w:hint="eastAsia"/>
          <w:spacing w:val="5"/>
          <w:sz w:val="24"/>
          <w:szCs w:val="24"/>
          <w:highlight w:val="none"/>
          <w:lang w:eastAsia="zh-CN"/>
        </w:rPr>
        <w:t>只在</w:t>
      </w:r>
      <w:r>
        <w:rPr>
          <w:rFonts w:hint="eastAsia"/>
          <w:spacing w:val="6"/>
          <w:sz w:val="24"/>
          <w:szCs w:val="24"/>
          <w:highlight w:val="none"/>
          <w:lang w:eastAsia="zh-CN"/>
        </w:rPr>
        <w:t>指定项目实施场地活动，不得进入其它楼层正常办公区域，不对正常办公进行干扰，办公现场须建立明确规范的指引与说明</w:t>
      </w:r>
      <w:r>
        <w:rPr>
          <w:rFonts w:hint="eastAsia"/>
          <w:spacing w:val="1"/>
          <w:sz w:val="24"/>
          <w:szCs w:val="24"/>
          <w:highlight w:val="none"/>
          <w:lang w:eastAsia="zh-CN"/>
        </w:rPr>
        <w:t>。</w:t>
      </w:r>
    </w:p>
    <w:p>
      <w:pPr>
        <w:pStyle w:val="15"/>
        <w:spacing w:line="360" w:lineRule="auto"/>
        <w:rPr>
          <w:sz w:val="24"/>
          <w:szCs w:val="24"/>
          <w:highlight w:val="none"/>
          <w:lang w:eastAsia="zh-CN"/>
        </w:rPr>
      </w:pPr>
      <w:r>
        <w:rPr>
          <w:rFonts w:hint="eastAsia"/>
          <w:spacing w:val="7"/>
          <w:sz w:val="24"/>
          <w:szCs w:val="24"/>
          <w:highlight w:val="none"/>
          <w:lang w:eastAsia="zh-CN"/>
        </w:rPr>
        <w:t>1.3安全注意事项：</w:t>
      </w:r>
    </w:p>
    <w:p>
      <w:pPr>
        <w:pStyle w:val="15"/>
        <w:spacing w:line="360" w:lineRule="auto"/>
        <w:rPr>
          <w:sz w:val="24"/>
          <w:szCs w:val="24"/>
          <w:highlight w:val="none"/>
          <w:lang w:eastAsia="zh-CN"/>
        </w:rPr>
      </w:pPr>
      <w:r>
        <w:rPr>
          <w:rFonts w:hint="eastAsia"/>
          <w:spacing w:val="8"/>
          <w:sz w:val="24"/>
          <w:szCs w:val="24"/>
          <w:highlight w:val="none"/>
          <w:lang w:eastAsia="zh-CN"/>
        </w:rPr>
        <w:t>1.3.1供应商需有科学、健全的搬运安全制度和措施；</w:t>
      </w:r>
    </w:p>
    <w:p>
      <w:pPr>
        <w:pStyle w:val="15"/>
        <w:spacing w:line="360" w:lineRule="auto"/>
        <w:rPr>
          <w:sz w:val="24"/>
          <w:szCs w:val="24"/>
          <w:highlight w:val="none"/>
          <w:lang w:eastAsia="zh-CN"/>
        </w:rPr>
      </w:pPr>
      <w:r>
        <w:rPr>
          <w:rFonts w:hint="eastAsia"/>
          <w:spacing w:val="9"/>
          <w:sz w:val="24"/>
          <w:szCs w:val="24"/>
          <w:highlight w:val="none"/>
          <w:lang w:eastAsia="zh-CN"/>
        </w:rPr>
        <w:t>1.3.2负责安全、照章搬运，建立保证人身、搬运车辆和财务</w:t>
      </w:r>
      <w:r>
        <w:rPr>
          <w:rFonts w:hint="eastAsia"/>
          <w:spacing w:val="6"/>
          <w:sz w:val="24"/>
          <w:szCs w:val="24"/>
          <w:highlight w:val="none"/>
          <w:lang w:eastAsia="zh-CN"/>
        </w:rPr>
        <w:t>安全的方案；</w:t>
      </w:r>
    </w:p>
    <w:p>
      <w:pPr>
        <w:pStyle w:val="15"/>
        <w:spacing w:line="360" w:lineRule="auto"/>
        <w:rPr>
          <w:sz w:val="24"/>
          <w:szCs w:val="24"/>
          <w:highlight w:val="none"/>
          <w:lang w:eastAsia="zh-CN"/>
        </w:rPr>
      </w:pPr>
      <w:r>
        <w:rPr>
          <w:rFonts w:hint="eastAsia"/>
          <w:spacing w:val="9"/>
          <w:sz w:val="24"/>
          <w:szCs w:val="24"/>
          <w:highlight w:val="none"/>
          <w:lang w:eastAsia="zh-CN"/>
        </w:rPr>
        <w:t>1.3.3</w:t>
      </w:r>
      <w:r>
        <w:rPr>
          <w:rFonts w:hint="eastAsia"/>
          <w:spacing w:val="5"/>
          <w:sz w:val="24"/>
          <w:szCs w:val="24"/>
          <w:highlight w:val="none"/>
          <w:lang w:eastAsia="zh-CN"/>
        </w:rPr>
        <w:t>做好搬运物品的保护，轻拿、轻放、轻拆、轻装、轻摆，</w:t>
      </w:r>
      <w:r>
        <w:rPr>
          <w:rFonts w:hint="eastAsia"/>
          <w:spacing w:val="8"/>
          <w:sz w:val="24"/>
          <w:szCs w:val="24"/>
          <w:highlight w:val="none"/>
          <w:lang w:eastAsia="zh-CN"/>
        </w:rPr>
        <w:t>做好物品固定和隔离；</w:t>
      </w:r>
    </w:p>
    <w:p>
      <w:pPr>
        <w:pStyle w:val="15"/>
        <w:spacing w:line="360" w:lineRule="auto"/>
        <w:rPr>
          <w:sz w:val="24"/>
          <w:szCs w:val="24"/>
          <w:highlight w:val="none"/>
          <w:lang w:eastAsia="zh-CN"/>
        </w:rPr>
      </w:pPr>
      <w:r>
        <w:rPr>
          <w:rFonts w:hint="eastAsia"/>
          <w:spacing w:val="9"/>
          <w:sz w:val="24"/>
          <w:szCs w:val="24"/>
          <w:highlight w:val="none"/>
          <w:lang w:eastAsia="zh-CN"/>
        </w:rPr>
        <w:t>1.3.4供应商驾驶员必须严格控制车速，平稳行车，避免运输</w:t>
      </w:r>
      <w:r>
        <w:rPr>
          <w:rFonts w:hint="eastAsia"/>
          <w:spacing w:val="7"/>
          <w:sz w:val="24"/>
          <w:szCs w:val="24"/>
          <w:highlight w:val="none"/>
          <w:lang w:eastAsia="zh-CN"/>
        </w:rPr>
        <w:t>物品的损坏和丢失；</w:t>
      </w:r>
    </w:p>
    <w:p>
      <w:pPr>
        <w:pStyle w:val="15"/>
        <w:spacing w:line="360" w:lineRule="auto"/>
        <w:rPr>
          <w:sz w:val="24"/>
          <w:szCs w:val="24"/>
          <w:highlight w:val="none"/>
          <w:lang w:eastAsia="zh-CN"/>
        </w:rPr>
      </w:pPr>
      <w:r>
        <w:rPr>
          <w:rFonts w:hint="eastAsia"/>
          <w:spacing w:val="9"/>
          <w:sz w:val="24"/>
          <w:szCs w:val="24"/>
          <w:highlight w:val="none"/>
          <w:lang w:eastAsia="zh-CN"/>
        </w:rPr>
        <w:t>1.3.5供应商必须做好防雨、防水、防火、防压、防震和防撞</w:t>
      </w:r>
      <w:r>
        <w:rPr>
          <w:rFonts w:hint="eastAsia"/>
          <w:spacing w:val="3"/>
          <w:sz w:val="24"/>
          <w:szCs w:val="24"/>
          <w:highlight w:val="none"/>
          <w:lang w:eastAsia="zh-CN"/>
        </w:rPr>
        <w:t>措施；</w:t>
      </w:r>
    </w:p>
    <w:p>
      <w:pPr>
        <w:pStyle w:val="15"/>
        <w:spacing w:line="360" w:lineRule="auto"/>
        <w:rPr>
          <w:sz w:val="24"/>
          <w:szCs w:val="24"/>
          <w:highlight w:val="none"/>
          <w:lang w:eastAsia="zh-CN"/>
        </w:rPr>
      </w:pPr>
      <w:r>
        <w:rPr>
          <w:rFonts w:hint="eastAsia"/>
          <w:spacing w:val="9"/>
          <w:sz w:val="24"/>
          <w:szCs w:val="24"/>
          <w:highlight w:val="none"/>
          <w:lang w:eastAsia="zh-CN"/>
        </w:rPr>
        <w:t>1.3.6供应商派遣项目人员不得在项目实施场地发生抽烟、喝</w:t>
      </w:r>
      <w:r>
        <w:rPr>
          <w:rFonts w:hint="eastAsia"/>
          <w:spacing w:val="8"/>
          <w:sz w:val="24"/>
          <w:szCs w:val="24"/>
          <w:highlight w:val="none"/>
          <w:lang w:eastAsia="zh-CN"/>
        </w:rPr>
        <w:t>酒、大声喧哗等不适当行为；</w:t>
      </w:r>
    </w:p>
    <w:p>
      <w:pPr>
        <w:pStyle w:val="15"/>
        <w:spacing w:line="360" w:lineRule="auto"/>
        <w:rPr>
          <w:sz w:val="24"/>
          <w:szCs w:val="24"/>
          <w:highlight w:val="none"/>
          <w:lang w:eastAsia="zh-CN"/>
        </w:rPr>
      </w:pPr>
      <w:r>
        <w:rPr>
          <w:rFonts w:hint="eastAsia"/>
          <w:spacing w:val="9"/>
          <w:sz w:val="24"/>
          <w:szCs w:val="24"/>
          <w:highlight w:val="none"/>
          <w:lang w:eastAsia="zh-CN"/>
        </w:rPr>
        <w:t>1.3.7供应商对所派遣项目人员做好安全教育，提供工伤意外</w:t>
      </w:r>
      <w:r>
        <w:rPr>
          <w:rFonts w:hint="eastAsia"/>
          <w:spacing w:val="8"/>
          <w:sz w:val="24"/>
          <w:szCs w:val="24"/>
          <w:highlight w:val="none"/>
          <w:lang w:eastAsia="zh-CN"/>
        </w:rPr>
        <w:t>保险，项目人员提供与成交单位的服务协议及保险证明方可入场。</w:t>
      </w:r>
    </w:p>
    <w:p>
      <w:pPr>
        <w:pStyle w:val="15"/>
        <w:spacing w:line="360" w:lineRule="auto"/>
        <w:rPr>
          <w:sz w:val="24"/>
          <w:szCs w:val="24"/>
          <w:highlight w:val="none"/>
          <w:lang w:eastAsia="zh-CN"/>
        </w:rPr>
      </w:pPr>
      <w:r>
        <w:rPr>
          <w:rFonts w:hint="eastAsia"/>
          <w:spacing w:val="9"/>
          <w:sz w:val="24"/>
          <w:szCs w:val="24"/>
          <w:highlight w:val="none"/>
          <w:lang w:eastAsia="zh-CN"/>
        </w:rPr>
        <w:t>1.3.8</w:t>
      </w:r>
      <w:r>
        <w:rPr>
          <w:rFonts w:hint="eastAsia"/>
          <w:spacing w:val="5"/>
          <w:sz w:val="24"/>
          <w:szCs w:val="24"/>
          <w:highlight w:val="none"/>
          <w:lang w:eastAsia="zh-CN"/>
        </w:rPr>
        <w:t>各类搬迁设备迁移前及迁移后状态确认的具体测试方案。</w:t>
      </w:r>
    </w:p>
    <w:p>
      <w:pPr>
        <w:pStyle w:val="15"/>
        <w:spacing w:line="360" w:lineRule="auto"/>
        <w:rPr>
          <w:sz w:val="24"/>
          <w:szCs w:val="24"/>
          <w:highlight w:val="none"/>
          <w:lang w:eastAsia="zh-CN"/>
        </w:rPr>
      </w:pPr>
      <w:r>
        <w:rPr>
          <w:rFonts w:hint="eastAsia"/>
          <w:spacing w:val="9"/>
          <w:sz w:val="24"/>
          <w:szCs w:val="24"/>
          <w:highlight w:val="none"/>
          <w:lang w:eastAsia="zh-CN"/>
        </w:rPr>
        <w:t>1.3.9需根据招标人的时间和要求，配备好合适的车辆及工作</w:t>
      </w:r>
      <w:r>
        <w:rPr>
          <w:rFonts w:hint="eastAsia"/>
          <w:spacing w:val="6"/>
          <w:sz w:val="24"/>
          <w:szCs w:val="24"/>
          <w:highlight w:val="none"/>
          <w:lang w:eastAsia="zh-CN"/>
        </w:rPr>
        <w:t>人员，做到随叫随到，且必须服从招标人的统一安排调度，严格遵</w:t>
      </w:r>
      <w:r>
        <w:rPr>
          <w:rFonts w:hint="eastAsia"/>
          <w:spacing w:val="8"/>
          <w:sz w:val="24"/>
          <w:szCs w:val="24"/>
          <w:highlight w:val="none"/>
          <w:lang w:eastAsia="zh-CN"/>
        </w:rPr>
        <w:t>守时间，安全高效遵守搬迁的秩序和要求，工作</w:t>
      </w:r>
      <w:r>
        <w:rPr>
          <w:rFonts w:hint="eastAsia"/>
          <w:spacing w:val="7"/>
          <w:sz w:val="24"/>
          <w:szCs w:val="24"/>
          <w:highlight w:val="none"/>
          <w:lang w:eastAsia="zh-CN"/>
        </w:rPr>
        <w:t>认真、尽职尽责；</w:t>
      </w:r>
    </w:p>
    <w:p>
      <w:pPr>
        <w:pStyle w:val="15"/>
        <w:spacing w:line="360" w:lineRule="auto"/>
        <w:rPr>
          <w:sz w:val="24"/>
          <w:szCs w:val="24"/>
          <w:highlight w:val="none"/>
          <w:lang w:eastAsia="zh-CN"/>
        </w:rPr>
      </w:pPr>
      <w:r>
        <w:rPr>
          <w:rFonts w:hint="eastAsia"/>
          <w:spacing w:val="9"/>
          <w:sz w:val="24"/>
          <w:szCs w:val="24"/>
          <w:highlight w:val="none"/>
          <w:lang w:eastAsia="zh-CN"/>
        </w:rPr>
        <w:t>1.3.10供应商需依据相关法规文件要求承诺，对项目服务中所涉及的单位名称、技术、人员等资料承担保密义务和责任。</w:t>
      </w:r>
    </w:p>
    <w:p>
      <w:pPr>
        <w:pStyle w:val="15"/>
        <w:spacing w:line="360" w:lineRule="auto"/>
        <w:rPr>
          <w:sz w:val="24"/>
          <w:szCs w:val="24"/>
          <w:highlight w:val="none"/>
          <w:lang w:eastAsia="zh-CN"/>
        </w:rPr>
      </w:pPr>
      <w:r>
        <w:rPr>
          <w:rFonts w:hint="eastAsia"/>
          <w:spacing w:val="9"/>
          <w:sz w:val="24"/>
          <w:szCs w:val="24"/>
          <w:highlight w:val="none"/>
          <w:lang w:eastAsia="zh-CN"/>
        </w:rPr>
        <w:t>1.3.11服务商需保证项目准备和实施全过程符合国家相关安全</w:t>
      </w:r>
      <w:r>
        <w:rPr>
          <w:rFonts w:hint="eastAsia"/>
          <w:spacing w:val="6"/>
          <w:sz w:val="24"/>
          <w:szCs w:val="24"/>
          <w:highlight w:val="none"/>
          <w:lang w:eastAsia="zh-CN"/>
        </w:rPr>
        <w:t>法规要求，并有具体制度和措施加以保障；服务商需保证其拟派工</w:t>
      </w:r>
      <w:r>
        <w:rPr>
          <w:rFonts w:hint="eastAsia"/>
          <w:spacing w:val="8"/>
          <w:sz w:val="24"/>
          <w:szCs w:val="24"/>
          <w:highlight w:val="none"/>
          <w:lang w:eastAsia="zh-CN"/>
        </w:rPr>
        <w:t>作人员的安全且对其负全部责任；</w:t>
      </w:r>
    </w:p>
    <w:p>
      <w:pPr>
        <w:pStyle w:val="15"/>
        <w:spacing w:line="360" w:lineRule="auto"/>
        <w:rPr>
          <w:sz w:val="24"/>
          <w:szCs w:val="24"/>
          <w:highlight w:val="none"/>
          <w:lang w:eastAsia="zh-CN"/>
        </w:rPr>
      </w:pPr>
      <w:r>
        <w:rPr>
          <w:rFonts w:hint="eastAsia"/>
          <w:spacing w:val="9"/>
          <w:sz w:val="24"/>
          <w:szCs w:val="24"/>
          <w:highlight w:val="none"/>
          <w:lang w:eastAsia="zh-CN"/>
        </w:rPr>
        <w:t>★</w:t>
      </w:r>
      <w:r>
        <w:rPr>
          <w:rFonts w:hint="eastAsia"/>
          <w:b/>
          <w:bCs/>
          <w:spacing w:val="9"/>
          <w:sz w:val="24"/>
          <w:szCs w:val="24"/>
          <w:highlight w:val="none"/>
          <w:lang w:eastAsia="zh-CN"/>
        </w:rPr>
        <w:t>2.供应商对搬迁的仪器设备购买损坏赔偿险、道路运输险等全服务流程相关保险，金额不得</w:t>
      </w:r>
      <w:r>
        <w:rPr>
          <w:rFonts w:hint="eastAsia"/>
          <w:b/>
          <w:bCs/>
          <w:spacing w:val="7"/>
          <w:sz w:val="24"/>
          <w:szCs w:val="24"/>
          <w:highlight w:val="none"/>
          <w:lang w:eastAsia="zh-CN"/>
        </w:rPr>
        <w:t>少于</w:t>
      </w:r>
      <w:r>
        <w:rPr>
          <w:rFonts w:hint="eastAsia"/>
          <w:b/>
          <w:bCs/>
          <w:spacing w:val="-33"/>
          <w:sz w:val="24"/>
          <w:szCs w:val="24"/>
          <w:highlight w:val="none"/>
          <w:lang w:eastAsia="zh-CN"/>
        </w:rPr>
        <w:t>8</w:t>
      </w:r>
      <w:r>
        <w:rPr>
          <w:rFonts w:hint="eastAsia"/>
          <w:b/>
          <w:bCs/>
          <w:spacing w:val="7"/>
          <w:sz w:val="24"/>
          <w:szCs w:val="24"/>
          <w:highlight w:val="none"/>
          <w:lang w:eastAsia="zh-CN"/>
        </w:rPr>
        <w:t>00</w:t>
      </w:r>
      <w:r>
        <w:rPr>
          <w:rFonts w:hint="eastAsia"/>
          <w:b/>
          <w:bCs/>
          <w:spacing w:val="-35"/>
          <w:sz w:val="24"/>
          <w:szCs w:val="24"/>
          <w:highlight w:val="none"/>
          <w:lang w:eastAsia="zh-CN"/>
        </w:rPr>
        <w:t xml:space="preserve"> </w:t>
      </w:r>
      <w:r>
        <w:rPr>
          <w:rFonts w:hint="eastAsia"/>
          <w:b/>
          <w:bCs/>
          <w:spacing w:val="7"/>
          <w:sz w:val="24"/>
          <w:szCs w:val="24"/>
          <w:highlight w:val="none"/>
          <w:lang w:eastAsia="zh-CN"/>
        </w:rPr>
        <w:t>万元，保险受益人为招标人和供应商。</w:t>
      </w:r>
    </w:p>
    <w:p>
      <w:pPr>
        <w:pStyle w:val="15"/>
        <w:spacing w:line="360" w:lineRule="auto"/>
        <w:rPr>
          <w:b/>
          <w:bCs/>
          <w:sz w:val="24"/>
          <w:szCs w:val="24"/>
          <w:highlight w:val="none"/>
          <w:lang w:eastAsia="zh-CN"/>
        </w:rPr>
      </w:pPr>
      <w:r>
        <w:rPr>
          <w:rFonts w:hint="eastAsia"/>
          <w:b/>
          <w:bCs/>
          <w:spacing w:val="6"/>
          <w:sz w:val="24"/>
          <w:szCs w:val="24"/>
          <w:highlight w:val="none"/>
          <w:lang w:eastAsia="zh-CN"/>
        </w:rPr>
        <w:t>3.供应商需根据招标人项目情况及新实验室装修规划图，</w:t>
      </w:r>
      <w:r>
        <w:rPr>
          <w:rFonts w:hint="eastAsia"/>
          <w:b/>
          <w:bCs/>
          <w:spacing w:val="5"/>
          <w:sz w:val="24"/>
          <w:szCs w:val="24"/>
          <w:highlight w:val="none"/>
          <w:lang w:eastAsia="zh-CN"/>
        </w:rPr>
        <w:t>并对招</w:t>
      </w:r>
      <w:r>
        <w:rPr>
          <w:rFonts w:hint="eastAsia"/>
          <w:b/>
          <w:bCs/>
          <w:spacing w:val="6"/>
          <w:sz w:val="24"/>
          <w:szCs w:val="24"/>
          <w:highlight w:val="none"/>
          <w:lang w:eastAsia="zh-CN"/>
        </w:rPr>
        <w:t>标人新址和旧址进行勘察基础上提供详细的书面规划方案，指定项</w:t>
      </w:r>
      <w:r>
        <w:rPr>
          <w:rFonts w:hint="eastAsia"/>
          <w:b/>
          <w:bCs/>
          <w:spacing w:val="9"/>
          <w:sz w:val="24"/>
          <w:szCs w:val="24"/>
          <w:highlight w:val="none"/>
          <w:lang w:eastAsia="zh-CN"/>
        </w:rPr>
        <w:t>目总负责人及技术负责人，方案包括但不限</w:t>
      </w:r>
      <w:r>
        <w:rPr>
          <w:rFonts w:hint="eastAsia"/>
          <w:b/>
          <w:bCs/>
          <w:spacing w:val="8"/>
          <w:sz w:val="24"/>
          <w:szCs w:val="24"/>
          <w:highlight w:val="none"/>
          <w:lang w:eastAsia="zh-CN"/>
        </w:rPr>
        <w:t>于：</w:t>
      </w:r>
    </w:p>
    <w:p>
      <w:pPr>
        <w:pStyle w:val="15"/>
        <w:spacing w:line="360" w:lineRule="auto"/>
        <w:rPr>
          <w:sz w:val="24"/>
          <w:szCs w:val="24"/>
          <w:highlight w:val="none"/>
          <w:lang w:eastAsia="zh-CN"/>
        </w:rPr>
      </w:pPr>
      <w:r>
        <w:rPr>
          <w:rFonts w:hint="eastAsia"/>
          <w:spacing w:val="8"/>
          <w:sz w:val="24"/>
          <w:szCs w:val="24"/>
          <w:highlight w:val="none"/>
          <w:lang w:eastAsia="zh-CN"/>
        </w:rPr>
        <w:t>3.1迁移前规划</w:t>
      </w:r>
    </w:p>
    <w:p>
      <w:pPr>
        <w:pStyle w:val="15"/>
        <w:spacing w:line="360" w:lineRule="auto"/>
        <w:rPr>
          <w:sz w:val="24"/>
          <w:szCs w:val="24"/>
          <w:highlight w:val="none"/>
          <w:lang w:eastAsia="zh-CN"/>
        </w:rPr>
      </w:pPr>
      <w:r>
        <w:rPr>
          <w:rFonts w:hint="eastAsia"/>
          <w:spacing w:val="8"/>
          <w:sz w:val="24"/>
          <w:szCs w:val="24"/>
          <w:highlight w:val="none"/>
          <w:lang w:eastAsia="zh-CN"/>
        </w:rPr>
        <w:t>3.1.1搬迁流程方案及各阶段时间节点；</w:t>
      </w:r>
    </w:p>
    <w:p>
      <w:pPr>
        <w:pStyle w:val="15"/>
        <w:spacing w:line="360" w:lineRule="auto"/>
        <w:rPr>
          <w:sz w:val="24"/>
          <w:szCs w:val="24"/>
          <w:highlight w:val="none"/>
          <w:lang w:eastAsia="zh-CN"/>
        </w:rPr>
      </w:pPr>
      <w:r>
        <w:rPr>
          <w:rFonts w:hint="eastAsia"/>
          <w:spacing w:val="8"/>
          <w:sz w:val="24"/>
          <w:szCs w:val="24"/>
          <w:highlight w:val="none"/>
          <w:lang w:eastAsia="zh-CN"/>
        </w:rPr>
        <w:t>3.1.2</w:t>
      </w:r>
      <w:r>
        <w:rPr>
          <w:rFonts w:hint="eastAsia"/>
          <w:spacing w:val="7"/>
          <w:sz w:val="24"/>
          <w:szCs w:val="24"/>
          <w:highlight w:val="none"/>
          <w:lang w:eastAsia="zh-CN"/>
        </w:rPr>
        <w:t>车辆运输及工具配置方案；</w:t>
      </w:r>
    </w:p>
    <w:p>
      <w:pPr>
        <w:pStyle w:val="15"/>
        <w:spacing w:line="360" w:lineRule="auto"/>
        <w:rPr>
          <w:sz w:val="24"/>
          <w:szCs w:val="24"/>
          <w:highlight w:val="none"/>
          <w:lang w:eastAsia="zh-CN"/>
        </w:rPr>
      </w:pPr>
      <w:r>
        <w:rPr>
          <w:rFonts w:hint="eastAsia"/>
          <w:spacing w:val="8"/>
          <w:sz w:val="24"/>
          <w:szCs w:val="24"/>
          <w:highlight w:val="none"/>
          <w:lang w:eastAsia="zh-CN"/>
        </w:rPr>
        <w:t>3.1.3</w:t>
      </w:r>
      <w:r>
        <w:rPr>
          <w:rFonts w:hint="eastAsia"/>
          <w:spacing w:val="6"/>
          <w:sz w:val="24"/>
          <w:szCs w:val="24"/>
          <w:highlight w:val="none"/>
          <w:lang w:eastAsia="zh-CN"/>
        </w:rPr>
        <w:t>路线规划方案；</w:t>
      </w:r>
    </w:p>
    <w:p>
      <w:pPr>
        <w:pStyle w:val="15"/>
        <w:spacing w:line="360" w:lineRule="auto"/>
        <w:rPr>
          <w:sz w:val="24"/>
          <w:szCs w:val="24"/>
          <w:highlight w:val="none"/>
          <w:lang w:eastAsia="zh-CN"/>
        </w:rPr>
      </w:pPr>
      <w:r>
        <w:rPr>
          <w:rFonts w:hint="eastAsia"/>
          <w:spacing w:val="8"/>
          <w:sz w:val="24"/>
          <w:szCs w:val="24"/>
          <w:highlight w:val="none"/>
          <w:lang w:eastAsia="zh-CN"/>
        </w:rPr>
        <w:t>3.1.4</w:t>
      </w:r>
      <w:r>
        <w:rPr>
          <w:rFonts w:hint="eastAsia"/>
          <w:spacing w:val="7"/>
          <w:sz w:val="24"/>
          <w:szCs w:val="24"/>
          <w:highlight w:val="none"/>
          <w:lang w:eastAsia="zh-CN"/>
        </w:rPr>
        <w:t>仪器迁移顺序及定位规划方案；</w:t>
      </w:r>
    </w:p>
    <w:p>
      <w:pPr>
        <w:pStyle w:val="15"/>
        <w:spacing w:line="360" w:lineRule="auto"/>
        <w:rPr>
          <w:sz w:val="24"/>
          <w:szCs w:val="24"/>
          <w:highlight w:val="none"/>
          <w:lang w:eastAsia="zh-CN"/>
        </w:rPr>
      </w:pPr>
      <w:r>
        <w:rPr>
          <w:rFonts w:hint="eastAsia"/>
          <w:spacing w:val="8"/>
          <w:sz w:val="24"/>
          <w:szCs w:val="24"/>
          <w:highlight w:val="none"/>
          <w:lang w:eastAsia="zh-CN"/>
        </w:rPr>
        <w:t>3.1.5人员配置方案及相关专业资质提供；</w:t>
      </w:r>
    </w:p>
    <w:p>
      <w:pPr>
        <w:pStyle w:val="15"/>
        <w:spacing w:line="360" w:lineRule="auto"/>
        <w:rPr>
          <w:sz w:val="24"/>
          <w:szCs w:val="24"/>
          <w:highlight w:val="none"/>
          <w:lang w:eastAsia="zh-CN"/>
        </w:rPr>
      </w:pPr>
      <w:r>
        <w:rPr>
          <w:rFonts w:hint="eastAsia"/>
          <w:spacing w:val="8"/>
          <w:sz w:val="24"/>
          <w:szCs w:val="24"/>
          <w:highlight w:val="none"/>
          <w:lang w:eastAsia="zh-CN"/>
        </w:rPr>
        <w:t>3.1.6大型分析仪器(仪器设备及附属设备等)安装条件说明书；</w:t>
      </w:r>
    </w:p>
    <w:p>
      <w:pPr>
        <w:pStyle w:val="15"/>
        <w:spacing w:line="360" w:lineRule="auto"/>
        <w:rPr>
          <w:sz w:val="24"/>
          <w:szCs w:val="24"/>
          <w:highlight w:val="none"/>
          <w:lang w:eastAsia="zh-CN"/>
        </w:rPr>
      </w:pPr>
      <w:r>
        <w:rPr>
          <w:rFonts w:hint="eastAsia"/>
          <w:spacing w:val="8"/>
          <w:sz w:val="24"/>
          <w:szCs w:val="24"/>
          <w:highlight w:val="none"/>
          <w:lang w:eastAsia="zh-CN"/>
        </w:rPr>
        <w:t>3.1.7各类专业表格：场地确认、仪器状态确认、装箱单等。</w:t>
      </w:r>
    </w:p>
    <w:p>
      <w:pPr>
        <w:pStyle w:val="15"/>
        <w:spacing w:line="360" w:lineRule="auto"/>
        <w:rPr>
          <w:b/>
          <w:bCs/>
          <w:sz w:val="24"/>
          <w:szCs w:val="24"/>
          <w:highlight w:val="none"/>
          <w:lang w:eastAsia="zh-CN"/>
        </w:rPr>
      </w:pPr>
      <w:r>
        <w:rPr>
          <w:rFonts w:hint="eastAsia"/>
          <w:spacing w:val="9"/>
          <w:sz w:val="24"/>
          <w:szCs w:val="24"/>
          <w:highlight w:val="none"/>
          <w:lang w:eastAsia="zh-CN"/>
        </w:rPr>
        <w:t>★</w:t>
      </w:r>
      <w:r>
        <w:rPr>
          <w:rFonts w:hint="eastAsia"/>
          <w:b/>
          <w:bCs/>
          <w:spacing w:val="9"/>
          <w:sz w:val="24"/>
          <w:szCs w:val="24"/>
          <w:highlight w:val="none"/>
          <w:lang w:eastAsia="zh-CN"/>
        </w:rPr>
        <w:t>4.迁移前状态确认</w:t>
      </w:r>
    </w:p>
    <w:p>
      <w:pPr>
        <w:pStyle w:val="15"/>
        <w:spacing w:line="360" w:lineRule="auto"/>
        <w:ind w:firstLine="516" w:firstLineChars="200"/>
        <w:rPr>
          <w:sz w:val="24"/>
          <w:szCs w:val="24"/>
          <w:highlight w:val="none"/>
          <w:lang w:eastAsia="zh-CN"/>
        </w:rPr>
      </w:pPr>
      <w:r>
        <w:rPr>
          <w:rFonts w:hint="eastAsia"/>
          <w:spacing w:val="9"/>
          <w:sz w:val="24"/>
          <w:szCs w:val="24"/>
          <w:highlight w:val="none"/>
          <w:lang w:eastAsia="zh-CN"/>
        </w:rPr>
        <w:t>4.1供应商在仪器搬迁前需对招标人迁移清单中的全部仪器进行</w:t>
      </w:r>
      <w:r>
        <w:rPr>
          <w:rFonts w:hint="eastAsia"/>
          <w:spacing w:val="6"/>
          <w:sz w:val="24"/>
          <w:szCs w:val="24"/>
          <w:highlight w:val="none"/>
          <w:lang w:eastAsia="zh-CN"/>
        </w:rPr>
        <w:t>性能状态确认，对分析仪器进行指标测试，经招标人指定人员确认</w:t>
      </w:r>
      <w:r>
        <w:rPr>
          <w:rFonts w:hint="eastAsia"/>
          <w:spacing w:val="8"/>
          <w:sz w:val="24"/>
          <w:szCs w:val="24"/>
          <w:highlight w:val="none"/>
          <w:lang w:eastAsia="zh-CN"/>
        </w:rPr>
        <w:t>后，填写设备状态确认单。搬迁清单中未超出质保期的</w:t>
      </w:r>
      <w:r>
        <w:rPr>
          <w:rFonts w:hint="eastAsia"/>
          <w:spacing w:val="7"/>
          <w:sz w:val="24"/>
          <w:szCs w:val="24"/>
          <w:highlight w:val="none"/>
          <w:lang w:eastAsia="zh-CN"/>
        </w:rPr>
        <w:t>仪器设备，</w:t>
      </w:r>
      <w:r>
        <w:rPr>
          <w:rFonts w:hint="eastAsia"/>
          <w:spacing w:val="6"/>
          <w:sz w:val="24"/>
          <w:szCs w:val="24"/>
          <w:highlight w:val="none"/>
          <w:lang w:eastAsia="zh-CN"/>
        </w:rPr>
        <w:t>中标人需要与招标人确认质保问题，本次搬迁原则上不应影响原厂家质保服务。</w:t>
      </w:r>
    </w:p>
    <w:p>
      <w:pPr>
        <w:pStyle w:val="15"/>
        <w:spacing w:line="360" w:lineRule="auto"/>
        <w:ind w:firstLine="484" w:firstLineChars="200"/>
        <w:rPr>
          <w:sz w:val="24"/>
          <w:szCs w:val="24"/>
          <w:highlight w:val="none"/>
          <w:lang w:eastAsia="zh-CN"/>
        </w:rPr>
      </w:pPr>
      <w:r>
        <w:rPr>
          <w:rFonts w:hint="eastAsia"/>
          <w:spacing w:val="1"/>
          <w:sz w:val="24"/>
          <w:szCs w:val="24"/>
          <w:highlight w:val="none"/>
          <w:lang w:eastAsia="zh-CN"/>
        </w:rPr>
        <w:t>4.2供应商需按搬迁清单要求打包时，应统计打包物品名称、数量、</w:t>
      </w:r>
      <w:r>
        <w:rPr>
          <w:rFonts w:hint="eastAsia"/>
          <w:spacing w:val="9"/>
          <w:sz w:val="24"/>
          <w:szCs w:val="24"/>
          <w:highlight w:val="none"/>
          <w:lang w:eastAsia="zh-CN"/>
        </w:rPr>
        <w:t>好坏状态，同时在打包箱上贴上标签，注明由“</w:t>
      </w:r>
      <w:r>
        <w:rPr>
          <w:rFonts w:hint="eastAsia"/>
          <w:sz w:val="24"/>
          <w:szCs w:val="24"/>
          <w:highlight w:val="none"/>
          <w:lang w:eastAsia="zh-CN"/>
        </w:rPr>
        <w:t>XX</w:t>
      </w:r>
      <w:r>
        <w:rPr>
          <w:rFonts w:hint="eastAsia"/>
          <w:spacing w:val="-20"/>
          <w:sz w:val="24"/>
          <w:szCs w:val="24"/>
          <w:highlight w:val="none"/>
          <w:lang w:eastAsia="zh-CN"/>
        </w:rPr>
        <w:t xml:space="preserve"> </w:t>
      </w:r>
      <w:r>
        <w:rPr>
          <w:rFonts w:hint="eastAsia"/>
          <w:spacing w:val="9"/>
          <w:sz w:val="24"/>
          <w:szCs w:val="24"/>
          <w:highlight w:val="none"/>
          <w:lang w:eastAsia="zh-CN"/>
        </w:rPr>
        <w:t>办公室搬迁至</w:t>
      </w:r>
      <w:r>
        <w:rPr>
          <w:rFonts w:hint="eastAsia"/>
          <w:sz w:val="24"/>
          <w:szCs w:val="24"/>
          <w:highlight w:val="none"/>
          <w:lang w:eastAsia="zh-CN"/>
        </w:rPr>
        <w:t xml:space="preserve"> XX</w:t>
      </w:r>
      <w:r>
        <w:rPr>
          <w:rFonts w:hint="eastAsia"/>
          <w:spacing w:val="-33"/>
          <w:sz w:val="24"/>
          <w:szCs w:val="24"/>
          <w:highlight w:val="none"/>
          <w:lang w:eastAsia="zh-CN"/>
        </w:rPr>
        <w:t xml:space="preserve"> </w:t>
      </w:r>
      <w:r>
        <w:rPr>
          <w:rFonts w:hint="eastAsia"/>
          <w:spacing w:val="3"/>
          <w:sz w:val="24"/>
          <w:szCs w:val="24"/>
          <w:highlight w:val="none"/>
          <w:lang w:eastAsia="zh-CN"/>
        </w:rPr>
        <w:t>办公室指定位置、接收人及电话</w:t>
      </w:r>
      <w:r>
        <w:rPr>
          <w:rFonts w:hint="eastAsia"/>
          <w:spacing w:val="-70"/>
          <w:sz w:val="24"/>
          <w:szCs w:val="24"/>
          <w:highlight w:val="none"/>
          <w:lang w:eastAsia="zh-CN"/>
        </w:rPr>
        <w:t xml:space="preserve"> </w:t>
      </w:r>
      <w:r>
        <w:rPr>
          <w:rFonts w:hint="eastAsia"/>
          <w:spacing w:val="3"/>
          <w:sz w:val="24"/>
          <w:szCs w:val="24"/>
          <w:highlight w:val="none"/>
          <w:lang w:eastAsia="zh-CN"/>
        </w:rPr>
        <w:t>”，经双方确认签字后再进行搬</w:t>
      </w:r>
      <w:r>
        <w:rPr>
          <w:rFonts w:hint="eastAsia"/>
          <w:spacing w:val="1"/>
          <w:sz w:val="24"/>
          <w:szCs w:val="24"/>
          <w:highlight w:val="none"/>
          <w:lang w:eastAsia="zh-CN"/>
        </w:rPr>
        <w:t>迁。</w:t>
      </w:r>
    </w:p>
    <w:p>
      <w:pPr>
        <w:pStyle w:val="15"/>
        <w:spacing w:line="360" w:lineRule="auto"/>
        <w:rPr>
          <w:b/>
          <w:bCs/>
          <w:sz w:val="24"/>
          <w:szCs w:val="24"/>
          <w:highlight w:val="none"/>
          <w:lang w:eastAsia="zh-CN"/>
        </w:rPr>
      </w:pPr>
      <w:r>
        <w:rPr>
          <w:rFonts w:hint="eastAsia"/>
          <w:b/>
          <w:bCs/>
          <w:spacing w:val="8"/>
          <w:sz w:val="24"/>
          <w:szCs w:val="24"/>
          <w:highlight w:val="none"/>
          <w:lang w:eastAsia="zh-CN"/>
        </w:rPr>
        <w:t>5.仪器拆机</w:t>
      </w:r>
    </w:p>
    <w:p>
      <w:pPr>
        <w:pStyle w:val="15"/>
        <w:spacing w:line="360" w:lineRule="auto"/>
        <w:rPr>
          <w:sz w:val="24"/>
          <w:szCs w:val="24"/>
          <w:highlight w:val="none"/>
          <w:lang w:eastAsia="zh-CN"/>
        </w:rPr>
      </w:pPr>
      <w:r>
        <w:rPr>
          <w:rFonts w:hint="eastAsia"/>
          <w:spacing w:val="9"/>
          <w:sz w:val="24"/>
          <w:szCs w:val="24"/>
          <w:highlight w:val="none"/>
          <w:lang w:eastAsia="zh-CN"/>
        </w:rPr>
        <w:t>5.1仪器状态确认后，供应商需指定专业仪器工程师负责对</w:t>
      </w:r>
      <w:r>
        <w:rPr>
          <w:rFonts w:hint="eastAsia"/>
          <w:spacing w:val="6"/>
          <w:sz w:val="24"/>
          <w:szCs w:val="24"/>
          <w:highlight w:val="none"/>
          <w:lang w:eastAsia="zh-CN"/>
        </w:rPr>
        <w:t>全部待迁仪器拆装工作</w:t>
      </w:r>
      <w:r>
        <w:rPr>
          <w:rFonts w:hint="eastAsia"/>
          <w:spacing w:val="8"/>
          <w:sz w:val="24"/>
          <w:szCs w:val="24"/>
          <w:highlight w:val="none"/>
          <w:lang w:eastAsia="zh-CN"/>
        </w:rPr>
        <w:t>。</w:t>
      </w:r>
    </w:p>
    <w:p>
      <w:pPr>
        <w:pStyle w:val="15"/>
        <w:spacing w:line="360" w:lineRule="auto"/>
        <w:rPr>
          <w:sz w:val="24"/>
          <w:szCs w:val="24"/>
          <w:highlight w:val="none"/>
          <w:lang w:eastAsia="zh-CN"/>
        </w:rPr>
      </w:pPr>
      <w:r>
        <w:rPr>
          <w:rFonts w:hint="eastAsia"/>
          <w:spacing w:val="9"/>
          <w:sz w:val="24"/>
          <w:szCs w:val="24"/>
          <w:highlight w:val="none"/>
          <w:lang w:eastAsia="zh-CN"/>
        </w:rPr>
        <w:t>5.2招标人搬迁物品所用的拆装箱、样品冷存设备由成交方</w:t>
      </w:r>
      <w:r>
        <w:rPr>
          <w:rFonts w:hint="eastAsia"/>
          <w:spacing w:val="2"/>
          <w:sz w:val="24"/>
          <w:szCs w:val="24"/>
          <w:highlight w:val="none"/>
          <w:lang w:eastAsia="zh-CN"/>
        </w:rPr>
        <w:t>提供。</w:t>
      </w:r>
    </w:p>
    <w:p>
      <w:pPr>
        <w:pStyle w:val="15"/>
        <w:spacing w:line="360" w:lineRule="auto"/>
        <w:rPr>
          <w:b/>
          <w:bCs/>
          <w:sz w:val="24"/>
          <w:szCs w:val="24"/>
          <w:highlight w:val="none"/>
          <w:lang w:eastAsia="zh-CN"/>
        </w:rPr>
      </w:pPr>
      <w:r>
        <w:rPr>
          <w:rFonts w:hint="eastAsia"/>
          <w:b/>
          <w:bCs/>
          <w:spacing w:val="8"/>
          <w:sz w:val="24"/>
          <w:szCs w:val="24"/>
          <w:highlight w:val="none"/>
          <w:lang w:eastAsia="zh-CN"/>
        </w:rPr>
        <w:t>6.仪器包装</w:t>
      </w:r>
    </w:p>
    <w:p>
      <w:pPr>
        <w:pStyle w:val="15"/>
        <w:spacing w:line="360" w:lineRule="auto"/>
        <w:rPr>
          <w:sz w:val="24"/>
          <w:szCs w:val="24"/>
          <w:highlight w:val="none"/>
          <w:lang w:eastAsia="zh-CN"/>
        </w:rPr>
      </w:pPr>
      <w:r>
        <w:rPr>
          <w:rFonts w:hint="eastAsia"/>
          <w:spacing w:val="6"/>
          <w:sz w:val="24"/>
          <w:szCs w:val="24"/>
          <w:highlight w:val="none"/>
          <w:lang w:eastAsia="zh-CN"/>
        </w:rPr>
        <w:t>6.1供应商需对全部待迁仪器进行包装保护，确保仪器在</w:t>
      </w:r>
      <w:r>
        <w:rPr>
          <w:rFonts w:hint="eastAsia"/>
          <w:spacing w:val="5"/>
          <w:sz w:val="24"/>
          <w:szCs w:val="24"/>
          <w:highlight w:val="none"/>
          <w:lang w:eastAsia="zh-CN"/>
        </w:rPr>
        <w:t>运输过程</w:t>
      </w:r>
      <w:r>
        <w:rPr>
          <w:rFonts w:hint="eastAsia"/>
          <w:spacing w:val="6"/>
          <w:sz w:val="24"/>
          <w:szCs w:val="24"/>
          <w:highlight w:val="none"/>
          <w:lang w:eastAsia="zh-CN"/>
        </w:rPr>
        <w:t>中不因未包装引起破损及刮擦。大型精密仪器包装按照出厂包装要求进行（干燥处理、缓冲设置、木箱包装等）。仪器包装外需张贴物品标识单，对需装箱物品，由招标人指定人员填写装箱单及装箱</w:t>
      </w:r>
      <w:r>
        <w:rPr>
          <w:rFonts w:hint="eastAsia"/>
          <w:spacing w:val="5"/>
          <w:sz w:val="24"/>
          <w:szCs w:val="24"/>
          <w:highlight w:val="none"/>
          <w:lang w:eastAsia="zh-CN"/>
        </w:rPr>
        <w:t>统计表。</w:t>
      </w:r>
    </w:p>
    <w:p>
      <w:pPr>
        <w:pStyle w:val="15"/>
        <w:spacing w:line="360" w:lineRule="auto"/>
        <w:rPr>
          <w:sz w:val="24"/>
          <w:szCs w:val="24"/>
          <w:highlight w:val="none"/>
          <w:lang w:eastAsia="zh-CN"/>
        </w:rPr>
      </w:pPr>
      <w:r>
        <w:rPr>
          <w:rFonts w:hint="eastAsia"/>
          <w:spacing w:val="6"/>
          <w:sz w:val="24"/>
          <w:szCs w:val="24"/>
          <w:highlight w:val="none"/>
          <w:lang w:eastAsia="zh-CN"/>
        </w:rPr>
        <w:t>6.2提供打包材料：</w:t>
      </w:r>
      <w:r>
        <w:rPr>
          <w:rFonts w:hint="eastAsia"/>
          <w:spacing w:val="7"/>
          <w:sz w:val="24"/>
          <w:szCs w:val="24"/>
          <w:highlight w:val="none"/>
          <w:lang w:eastAsia="zh-CN"/>
        </w:rPr>
        <w:t>由供应商提供搬迁物品仪器设备的打包材料。</w:t>
      </w:r>
    </w:p>
    <w:p>
      <w:pPr>
        <w:pStyle w:val="15"/>
        <w:spacing w:line="360" w:lineRule="auto"/>
        <w:rPr>
          <w:b/>
          <w:bCs/>
          <w:sz w:val="24"/>
          <w:szCs w:val="24"/>
          <w:highlight w:val="none"/>
          <w:lang w:eastAsia="zh-CN"/>
        </w:rPr>
      </w:pPr>
      <w:r>
        <w:rPr>
          <w:rFonts w:hint="eastAsia"/>
          <w:b/>
          <w:bCs/>
          <w:spacing w:val="8"/>
          <w:sz w:val="24"/>
          <w:szCs w:val="24"/>
          <w:highlight w:val="none"/>
          <w:lang w:eastAsia="zh-CN"/>
        </w:rPr>
        <w:t>7.仪器运输</w:t>
      </w:r>
    </w:p>
    <w:p>
      <w:pPr>
        <w:pStyle w:val="15"/>
        <w:spacing w:line="360" w:lineRule="auto"/>
        <w:rPr>
          <w:sz w:val="24"/>
          <w:szCs w:val="24"/>
          <w:highlight w:val="none"/>
          <w:lang w:eastAsia="zh-CN"/>
        </w:rPr>
      </w:pPr>
      <w:r>
        <w:rPr>
          <w:rFonts w:hint="eastAsia"/>
          <w:spacing w:val="9"/>
          <w:sz w:val="24"/>
          <w:szCs w:val="24"/>
          <w:highlight w:val="none"/>
          <w:lang w:eastAsia="zh-CN"/>
        </w:rPr>
        <w:t>7.1运输车辆为符合交通管理条例的货物运输车辆，需确保</w:t>
      </w:r>
      <w:r>
        <w:rPr>
          <w:rFonts w:hint="eastAsia"/>
          <w:spacing w:val="1"/>
          <w:sz w:val="24"/>
          <w:szCs w:val="24"/>
          <w:highlight w:val="none"/>
          <w:lang w:eastAsia="zh-CN"/>
        </w:rPr>
        <w:t>车辆状况良好，并具有搬运资质、通行许可、保险有效、年检合格；</w:t>
      </w:r>
    </w:p>
    <w:p>
      <w:pPr>
        <w:pStyle w:val="15"/>
        <w:spacing w:line="360" w:lineRule="auto"/>
        <w:rPr>
          <w:sz w:val="24"/>
          <w:szCs w:val="24"/>
          <w:highlight w:val="none"/>
          <w:lang w:eastAsia="zh-CN"/>
        </w:rPr>
      </w:pPr>
      <w:r>
        <w:rPr>
          <w:rFonts w:hint="eastAsia"/>
          <w:spacing w:val="9"/>
          <w:sz w:val="24"/>
          <w:szCs w:val="24"/>
          <w:highlight w:val="none"/>
          <w:lang w:eastAsia="zh-CN"/>
        </w:rPr>
        <w:t>7.2根据仪器搬运的要求，如：防水、防震、防倾斜等，运输车辆必须随带防雨、固定、填充物及隔离器材等；</w:t>
      </w:r>
    </w:p>
    <w:p>
      <w:pPr>
        <w:pStyle w:val="15"/>
        <w:spacing w:line="360" w:lineRule="auto"/>
        <w:rPr>
          <w:sz w:val="24"/>
          <w:szCs w:val="24"/>
          <w:highlight w:val="none"/>
          <w:lang w:eastAsia="zh-CN"/>
        </w:rPr>
      </w:pPr>
      <w:r>
        <w:rPr>
          <w:rFonts w:hint="eastAsia"/>
          <w:spacing w:val="5"/>
          <w:sz w:val="24"/>
          <w:szCs w:val="24"/>
          <w:highlight w:val="none"/>
          <w:lang w:eastAsia="zh-CN"/>
        </w:rPr>
        <w:t>7.3仪器在车厢需摆放合理，全部仪器单层放置，不得堆叠；</w:t>
      </w:r>
    </w:p>
    <w:p>
      <w:pPr>
        <w:pStyle w:val="15"/>
        <w:spacing w:line="360" w:lineRule="auto"/>
        <w:rPr>
          <w:sz w:val="24"/>
          <w:szCs w:val="24"/>
          <w:highlight w:val="none"/>
          <w:lang w:eastAsia="zh-CN"/>
        </w:rPr>
      </w:pPr>
      <w:r>
        <w:rPr>
          <w:rFonts w:hint="eastAsia"/>
          <w:spacing w:val="8"/>
          <w:sz w:val="24"/>
          <w:szCs w:val="24"/>
          <w:highlight w:val="none"/>
          <w:lang w:eastAsia="zh-CN"/>
        </w:rPr>
        <w:t>7.4运输车辆必须由成交方及采购方同时派人押运；</w:t>
      </w:r>
    </w:p>
    <w:p>
      <w:pPr>
        <w:pStyle w:val="15"/>
        <w:spacing w:line="360" w:lineRule="auto"/>
        <w:rPr>
          <w:sz w:val="24"/>
          <w:szCs w:val="24"/>
          <w:highlight w:val="none"/>
          <w:lang w:eastAsia="zh-CN"/>
        </w:rPr>
      </w:pPr>
      <w:r>
        <w:rPr>
          <w:rFonts w:hint="eastAsia"/>
          <w:spacing w:val="9"/>
          <w:sz w:val="24"/>
          <w:szCs w:val="24"/>
          <w:highlight w:val="none"/>
          <w:lang w:eastAsia="zh-CN"/>
        </w:rPr>
        <w:t>7.5供应商可采用拖车，液压车、移动平台车、叉车、吊车</w:t>
      </w:r>
      <w:r>
        <w:rPr>
          <w:rFonts w:hint="eastAsia"/>
          <w:spacing w:val="6"/>
          <w:sz w:val="24"/>
          <w:szCs w:val="24"/>
          <w:highlight w:val="none"/>
          <w:lang w:eastAsia="zh-CN"/>
        </w:rPr>
        <w:t>等辅助运输，所有运输工具做减震防护处理。对可能需要用到的各种特种设备，由供应商安排提供，所有现场作业需用到的特种设备</w:t>
      </w:r>
      <w:r>
        <w:rPr>
          <w:rFonts w:hint="eastAsia"/>
          <w:spacing w:val="9"/>
          <w:sz w:val="24"/>
          <w:szCs w:val="24"/>
          <w:highlight w:val="none"/>
          <w:lang w:eastAsia="zh-CN"/>
        </w:rPr>
        <w:t>须保证干净且具备检验合格证书，操作人员应具备相应的操作证</w:t>
      </w:r>
      <w:r>
        <w:rPr>
          <w:rFonts w:hint="eastAsia"/>
          <w:spacing w:val="-2"/>
          <w:sz w:val="24"/>
          <w:szCs w:val="24"/>
          <w:highlight w:val="none"/>
          <w:lang w:eastAsia="zh-CN"/>
        </w:rPr>
        <w:t>书；</w:t>
      </w:r>
    </w:p>
    <w:p>
      <w:pPr>
        <w:pStyle w:val="15"/>
        <w:spacing w:line="360" w:lineRule="auto"/>
        <w:rPr>
          <w:sz w:val="24"/>
          <w:szCs w:val="24"/>
          <w:highlight w:val="none"/>
          <w:lang w:eastAsia="zh-CN"/>
        </w:rPr>
      </w:pPr>
      <w:r>
        <w:rPr>
          <w:rFonts w:hint="eastAsia"/>
          <w:spacing w:val="9"/>
          <w:sz w:val="24"/>
          <w:szCs w:val="24"/>
          <w:highlight w:val="none"/>
          <w:lang w:eastAsia="zh-CN"/>
        </w:rPr>
        <w:t>★7.6供应商需采用环保材料对迁进实验室地面、墙面进行</w:t>
      </w:r>
      <w:r>
        <w:rPr>
          <w:rFonts w:hint="eastAsia"/>
          <w:spacing w:val="6"/>
          <w:sz w:val="24"/>
          <w:szCs w:val="24"/>
          <w:highlight w:val="none"/>
          <w:lang w:eastAsia="zh-CN"/>
        </w:rPr>
        <w:t>保护，防地面、墙面划伤、分散，特别是重型设备的搬运要对实验</w:t>
      </w:r>
      <w:r>
        <w:rPr>
          <w:rFonts w:hint="eastAsia"/>
          <w:spacing w:val="7"/>
          <w:sz w:val="24"/>
          <w:szCs w:val="24"/>
          <w:highlight w:val="none"/>
          <w:lang w:eastAsia="zh-CN"/>
        </w:rPr>
        <w:t>室地面进行特殊防护；</w:t>
      </w:r>
    </w:p>
    <w:p>
      <w:pPr>
        <w:pStyle w:val="15"/>
        <w:spacing w:line="360" w:lineRule="auto"/>
        <w:rPr>
          <w:sz w:val="24"/>
          <w:szCs w:val="24"/>
          <w:highlight w:val="none"/>
          <w:lang w:eastAsia="zh-CN"/>
        </w:rPr>
      </w:pPr>
      <w:r>
        <w:rPr>
          <w:rFonts w:hint="eastAsia"/>
          <w:spacing w:val="9"/>
          <w:sz w:val="24"/>
          <w:szCs w:val="24"/>
          <w:highlight w:val="none"/>
          <w:lang w:eastAsia="zh-CN"/>
        </w:rPr>
        <w:t>7.7对无法正常从实验室迁出或迁进的设备，供应商与招标</w:t>
      </w:r>
      <w:r>
        <w:rPr>
          <w:rFonts w:hint="eastAsia"/>
          <w:spacing w:val="6"/>
          <w:sz w:val="24"/>
          <w:szCs w:val="24"/>
          <w:highlight w:val="none"/>
          <w:lang w:eastAsia="zh-CN"/>
        </w:rPr>
        <w:t>人协商后可采用专业、合理措施迁移。对无法正常从实验室迁出的设备，经与招标人协商同意后可采取拆除门、窗、墙体等措施进行迁出，供应商记录好相关情况并在迁出完成后及时安排维修人员对涉及的建筑物如：拆除的门、窗、墙体等进行修复。对无法正常从</w:t>
      </w:r>
      <w:r>
        <w:rPr>
          <w:rFonts w:hint="eastAsia"/>
          <w:spacing w:val="8"/>
          <w:sz w:val="24"/>
          <w:szCs w:val="24"/>
          <w:highlight w:val="none"/>
          <w:lang w:eastAsia="zh-CN"/>
        </w:rPr>
        <w:t>实验室迁入的设备，由供应商提供方案，招标人采取拆除门、窗、墙体等措施进行迁入，并进行修复。</w:t>
      </w:r>
    </w:p>
    <w:p>
      <w:pPr>
        <w:pStyle w:val="15"/>
        <w:spacing w:line="360" w:lineRule="auto"/>
        <w:rPr>
          <w:sz w:val="24"/>
          <w:szCs w:val="24"/>
          <w:highlight w:val="none"/>
          <w:lang w:eastAsia="zh-CN"/>
        </w:rPr>
      </w:pPr>
      <w:r>
        <w:rPr>
          <w:rFonts w:hint="eastAsia"/>
          <w:spacing w:val="9"/>
          <w:sz w:val="24"/>
          <w:szCs w:val="24"/>
          <w:highlight w:val="none"/>
          <w:lang w:eastAsia="zh-CN"/>
        </w:rPr>
        <w:t>7.8供应商应协助招标人完成搬运计划的细化和现场管理，</w:t>
      </w:r>
      <w:r>
        <w:rPr>
          <w:rFonts w:hint="eastAsia"/>
          <w:spacing w:val="6"/>
          <w:sz w:val="24"/>
          <w:szCs w:val="24"/>
          <w:highlight w:val="none"/>
          <w:lang w:eastAsia="zh-CN"/>
        </w:rPr>
        <w:t>专门安排经验丰富的车辆调度人员进行现场调度，相关负责人现场</w:t>
      </w:r>
      <w:r>
        <w:rPr>
          <w:rFonts w:hint="eastAsia"/>
          <w:spacing w:val="8"/>
          <w:sz w:val="24"/>
          <w:szCs w:val="24"/>
          <w:highlight w:val="none"/>
          <w:lang w:eastAsia="zh-CN"/>
        </w:rPr>
        <w:t>办公，搬运高峰期增加调度和现场管理人员；</w:t>
      </w:r>
    </w:p>
    <w:p>
      <w:pPr>
        <w:pStyle w:val="15"/>
        <w:spacing w:line="360" w:lineRule="auto"/>
        <w:rPr>
          <w:sz w:val="24"/>
          <w:szCs w:val="24"/>
          <w:highlight w:val="none"/>
          <w:lang w:eastAsia="zh-CN"/>
        </w:rPr>
      </w:pPr>
      <w:r>
        <w:rPr>
          <w:rFonts w:hint="eastAsia"/>
          <w:spacing w:val="9"/>
          <w:sz w:val="24"/>
          <w:szCs w:val="24"/>
          <w:highlight w:val="none"/>
          <w:lang w:eastAsia="zh-CN"/>
        </w:rPr>
        <w:t>7.9供应商需确保随车配备足够的搬运工人，在招标人指定人员及仪器专业工程师的指导下，完成仪器装车工作。</w:t>
      </w:r>
    </w:p>
    <w:p>
      <w:pPr>
        <w:pStyle w:val="15"/>
        <w:spacing w:line="360" w:lineRule="auto"/>
        <w:rPr>
          <w:spacing w:val="9"/>
          <w:sz w:val="24"/>
          <w:szCs w:val="24"/>
          <w:highlight w:val="none"/>
          <w:lang w:eastAsia="zh-CN"/>
        </w:rPr>
      </w:pPr>
      <w:r>
        <w:rPr>
          <w:rFonts w:hint="eastAsia"/>
          <w:spacing w:val="9"/>
          <w:sz w:val="24"/>
          <w:szCs w:val="24"/>
          <w:highlight w:val="none"/>
          <w:lang w:eastAsia="zh-CN"/>
        </w:rPr>
        <w:t>7.10仪器设备在车厢需摆放合理，全部仪器单层放置，不得堆叠；合理规划搬迁物品中途摆放位置，保证过廊通道等畅通。</w:t>
      </w:r>
    </w:p>
    <w:p>
      <w:pPr>
        <w:pStyle w:val="15"/>
        <w:spacing w:line="360" w:lineRule="auto"/>
        <w:rPr>
          <w:spacing w:val="9"/>
          <w:sz w:val="24"/>
          <w:szCs w:val="24"/>
          <w:highlight w:val="none"/>
          <w:lang w:eastAsia="zh-CN"/>
        </w:rPr>
      </w:pPr>
      <w:r>
        <w:rPr>
          <w:rFonts w:hint="eastAsia"/>
          <w:spacing w:val="9"/>
          <w:sz w:val="24"/>
          <w:szCs w:val="24"/>
          <w:highlight w:val="none"/>
          <w:lang w:eastAsia="zh-CN"/>
        </w:rPr>
        <w:t>7.11光学类易损机器单独一车，不与离心机、实验桌等设备在一起。</w:t>
      </w:r>
    </w:p>
    <w:p>
      <w:pPr>
        <w:pStyle w:val="15"/>
        <w:spacing w:line="360" w:lineRule="auto"/>
        <w:rPr>
          <w:b/>
          <w:bCs/>
          <w:sz w:val="24"/>
          <w:szCs w:val="24"/>
          <w:highlight w:val="none"/>
          <w:lang w:eastAsia="zh-CN"/>
        </w:rPr>
      </w:pPr>
      <w:r>
        <w:rPr>
          <w:rFonts w:hint="eastAsia"/>
          <w:b/>
          <w:bCs/>
          <w:spacing w:val="8"/>
          <w:sz w:val="24"/>
          <w:szCs w:val="24"/>
          <w:highlight w:val="none"/>
          <w:lang w:eastAsia="zh-CN"/>
        </w:rPr>
        <w:t>8.仪器安装调试</w:t>
      </w:r>
    </w:p>
    <w:p>
      <w:pPr>
        <w:pStyle w:val="15"/>
        <w:spacing w:line="360" w:lineRule="auto"/>
        <w:rPr>
          <w:sz w:val="24"/>
          <w:szCs w:val="24"/>
          <w:highlight w:val="none"/>
          <w:lang w:eastAsia="zh-CN"/>
        </w:rPr>
      </w:pPr>
      <w:r>
        <w:rPr>
          <w:rFonts w:hint="eastAsia"/>
          <w:spacing w:val="9"/>
          <w:sz w:val="24"/>
          <w:szCs w:val="24"/>
          <w:highlight w:val="none"/>
          <w:lang w:eastAsia="zh-CN"/>
        </w:rPr>
        <w:t>8.1仪器迁移至迁进实验室后，供应商需根据迁移规划规定</w:t>
      </w:r>
      <w:r>
        <w:rPr>
          <w:rFonts w:hint="eastAsia"/>
          <w:spacing w:val="8"/>
          <w:sz w:val="24"/>
          <w:szCs w:val="24"/>
          <w:highlight w:val="none"/>
          <w:lang w:eastAsia="zh-CN"/>
        </w:rPr>
        <w:t>的时间节点进行包装拆除，定位至采购方实验</w:t>
      </w:r>
      <w:r>
        <w:rPr>
          <w:rFonts w:hint="eastAsia"/>
          <w:spacing w:val="7"/>
          <w:sz w:val="24"/>
          <w:szCs w:val="24"/>
          <w:highlight w:val="none"/>
          <w:lang w:eastAsia="zh-CN"/>
        </w:rPr>
        <w:t>室规划图指定位置，并及时回收包装材料；</w:t>
      </w:r>
    </w:p>
    <w:p>
      <w:pPr>
        <w:pStyle w:val="15"/>
        <w:spacing w:line="360" w:lineRule="auto"/>
        <w:rPr>
          <w:sz w:val="24"/>
          <w:szCs w:val="24"/>
          <w:highlight w:val="none"/>
          <w:lang w:eastAsia="zh-CN"/>
        </w:rPr>
      </w:pPr>
      <w:r>
        <w:rPr>
          <w:rFonts w:hint="eastAsia"/>
          <w:spacing w:val="8"/>
          <w:sz w:val="24"/>
          <w:szCs w:val="24"/>
          <w:highlight w:val="none"/>
          <w:lang w:eastAsia="zh-CN"/>
        </w:rPr>
        <w:t>8.2仪器送达指定位置后，按装箱单逐项清点，到达新实验室的仪器必须和装箱单中标明的名称、型号、数量、资产编号一致，外观无新增破损、锈蚀、碰伤，保持功能正常。所有仪器按照规定完成安装，接通电源；</w:t>
      </w:r>
    </w:p>
    <w:p>
      <w:pPr>
        <w:pStyle w:val="15"/>
        <w:spacing w:line="360" w:lineRule="auto"/>
        <w:rPr>
          <w:sz w:val="24"/>
          <w:szCs w:val="24"/>
          <w:highlight w:val="none"/>
          <w:lang w:eastAsia="zh-CN"/>
        </w:rPr>
      </w:pPr>
      <w:r>
        <w:rPr>
          <w:rFonts w:hint="eastAsia"/>
          <w:spacing w:val="7"/>
          <w:sz w:val="24"/>
          <w:szCs w:val="24"/>
          <w:highlight w:val="none"/>
          <w:lang w:eastAsia="zh-CN"/>
        </w:rPr>
        <w:t>8.3</w:t>
      </w:r>
      <w:r>
        <w:rPr>
          <w:rFonts w:hint="eastAsia"/>
          <w:spacing w:val="8"/>
          <w:sz w:val="24"/>
          <w:szCs w:val="24"/>
          <w:highlight w:val="none"/>
          <w:lang w:eastAsia="zh-CN"/>
        </w:rPr>
        <w:t>仪器</w:t>
      </w:r>
      <w:r>
        <w:rPr>
          <w:rFonts w:hint="eastAsia"/>
          <w:spacing w:val="7"/>
          <w:sz w:val="24"/>
          <w:szCs w:val="24"/>
          <w:highlight w:val="none"/>
          <w:lang w:eastAsia="zh-CN"/>
        </w:rPr>
        <w:t>及附属设备须由具有专业资质工程师对迁移前分解</w:t>
      </w:r>
      <w:r>
        <w:rPr>
          <w:rFonts w:hint="eastAsia"/>
          <w:spacing w:val="8"/>
          <w:sz w:val="24"/>
          <w:szCs w:val="24"/>
          <w:highlight w:val="none"/>
          <w:lang w:eastAsia="zh-CN"/>
        </w:rPr>
        <w:t>的部件进行组装，并调试至不低于搬迁前状态。</w:t>
      </w:r>
    </w:p>
    <w:p>
      <w:pPr>
        <w:pStyle w:val="15"/>
        <w:spacing w:line="360" w:lineRule="auto"/>
        <w:rPr>
          <w:b/>
          <w:bCs/>
          <w:sz w:val="24"/>
          <w:szCs w:val="24"/>
          <w:highlight w:val="none"/>
          <w:lang w:eastAsia="zh-CN"/>
        </w:rPr>
      </w:pPr>
      <w:r>
        <w:rPr>
          <w:rFonts w:hint="eastAsia"/>
          <w:b/>
          <w:bCs/>
          <w:spacing w:val="8"/>
          <w:sz w:val="24"/>
          <w:szCs w:val="24"/>
          <w:highlight w:val="none"/>
          <w:lang w:eastAsia="zh-CN"/>
        </w:rPr>
        <w:t>★9.迁移后状态确认</w:t>
      </w:r>
    </w:p>
    <w:p>
      <w:pPr>
        <w:pStyle w:val="15"/>
        <w:spacing w:line="360" w:lineRule="auto"/>
        <w:ind w:firstLine="8"/>
        <w:rPr>
          <w:sz w:val="24"/>
          <w:szCs w:val="24"/>
          <w:highlight w:val="none"/>
          <w:lang w:eastAsia="zh-CN"/>
        </w:rPr>
      </w:pPr>
      <w:r>
        <w:rPr>
          <w:rFonts w:hint="eastAsia"/>
          <w:spacing w:val="9"/>
          <w:sz w:val="24"/>
          <w:szCs w:val="24"/>
          <w:highlight w:val="none"/>
          <w:lang w:eastAsia="zh-CN"/>
        </w:rPr>
        <w:t>9.1中标人会同招标人指定人员对仪器状态进行确认，需完</w:t>
      </w:r>
      <w:r>
        <w:rPr>
          <w:rFonts w:hint="eastAsia"/>
          <w:spacing w:val="6"/>
          <w:sz w:val="24"/>
          <w:szCs w:val="24"/>
          <w:highlight w:val="none"/>
          <w:lang w:eastAsia="zh-CN"/>
        </w:rPr>
        <w:t>成与迁移前相同的指标测试，确保仪器不低于拆卸前</w:t>
      </w:r>
      <w:r>
        <w:rPr>
          <w:rFonts w:hint="eastAsia"/>
          <w:spacing w:val="5"/>
          <w:sz w:val="24"/>
          <w:szCs w:val="24"/>
          <w:highlight w:val="none"/>
          <w:lang w:eastAsia="zh-CN"/>
        </w:rPr>
        <w:t>状态后，进</w:t>
      </w:r>
      <w:r>
        <w:rPr>
          <w:rFonts w:hint="eastAsia"/>
          <w:spacing w:val="7"/>
          <w:sz w:val="24"/>
          <w:szCs w:val="24"/>
          <w:highlight w:val="none"/>
          <w:lang w:eastAsia="zh-CN"/>
        </w:rPr>
        <w:t>行书面确认验收。</w:t>
      </w:r>
    </w:p>
    <w:p>
      <w:pPr>
        <w:pStyle w:val="15"/>
        <w:spacing w:line="360" w:lineRule="auto"/>
        <w:rPr>
          <w:sz w:val="24"/>
          <w:szCs w:val="24"/>
          <w:highlight w:val="none"/>
          <w:lang w:eastAsia="zh-CN"/>
        </w:rPr>
      </w:pPr>
      <w:r>
        <w:rPr>
          <w:rFonts w:hint="eastAsia"/>
          <w:spacing w:val="7"/>
          <w:sz w:val="24"/>
          <w:szCs w:val="24"/>
          <w:highlight w:val="none"/>
          <w:lang w:eastAsia="zh-CN"/>
        </w:rPr>
        <w:t>9.2其余的设备需通电运行，确保性能不低于搬迁前状态。</w:t>
      </w:r>
    </w:p>
    <w:p>
      <w:pPr>
        <w:pStyle w:val="15"/>
        <w:spacing w:line="360" w:lineRule="auto"/>
        <w:rPr>
          <w:sz w:val="24"/>
          <w:szCs w:val="24"/>
          <w:highlight w:val="none"/>
          <w:lang w:eastAsia="zh-CN"/>
        </w:rPr>
      </w:pPr>
      <w:r>
        <w:rPr>
          <w:rFonts w:hint="eastAsia"/>
          <w:spacing w:val="7"/>
          <w:sz w:val="24"/>
          <w:szCs w:val="24"/>
          <w:highlight w:val="none"/>
          <w:lang w:eastAsia="zh-CN"/>
        </w:rPr>
        <w:t>9.3所有设备搬迁后需确保外观完整、附</w:t>
      </w:r>
      <w:r>
        <w:rPr>
          <w:rFonts w:hint="eastAsia"/>
          <w:spacing w:val="6"/>
          <w:sz w:val="24"/>
          <w:szCs w:val="24"/>
          <w:highlight w:val="none"/>
          <w:lang w:eastAsia="zh-CN"/>
        </w:rPr>
        <w:t>件齐全。</w:t>
      </w:r>
    </w:p>
    <w:p>
      <w:pPr>
        <w:pStyle w:val="15"/>
        <w:spacing w:line="360" w:lineRule="auto"/>
        <w:ind w:firstLine="35"/>
        <w:rPr>
          <w:sz w:val="24"/>
          <w:szCs w:val="24"/>
          <w:highlight w:val="none"/>
          <w:lang w:eastAsia="zh-CN"/>
        </w:rPr>
      </w:pPr>
      <w:r>
        <w:rPr>
          <w:rFonts w:hint="eastAsia"/>
          <w:spacing w:val="8"/>
          <w:sz w:val="24"/>
          <w:szCs w:val="24"/>
          <w:highlight w:val="none"/>
          <w:lang w:eastAsia="zh-CN"/>
        </w:rPr>
        <w:t>9.4仪器的搬迁内容还包括清单中所列设备附属的电脑和</w:t>
      </w:r>
      <w:r>
        <w:rPr>
          <w:rFonts w:hint="eastAsia"/>
          <w:spacing w:val="7"/>
          <w:sz w:val="24"/>
          <w:szCs w:val="24"/>
          <w:highlight w:val="none"/>
          <w:lang w:eastAsia="zh-CN"/>
        </w:rPr>
        <w:t>辅助</w:t>
      </w:r>
      <w:r>
        <w:rPr>
          <w:rFonts w:hint="eastAsia"/>
          <w:spacing w:val="6"/>
          <w:sz w:val="24"/>
          <w:szCs w:val="24"/>
          <w:highlight w:val="none"/>
          <w:lang w:eastAsia="zh-CN"/>
        </w:rPr>
        <w:t>仪器、设备及辅助仪器的连接线缆、仪器配件耗材等</w:t>
      </w:r>
      <w:r>
        <w:rPr>
          <w:rFonts w:hint="eastAsia"/>
          <w:spacing w:val="5"/>
          <w:sz w:val="24"/>
          <w:szCs w:val="24"/>
          <w:highlight w:val="none"/>
          <w:lang w:eastAsia="zh-CN"/>
        </w:rPr>
        <w:t>，具体以</w:t>
      </w:r>
      <w:r>
        <w:rPr>
          <w:rFonts w:hint="eastAsia"/>
          <w:spacing w:val="6"/>
          <w:sz w:val="24"/>
          <w:szCs w:val="24"/>
          <w:highlight w:val="none"/>
          <w:lang w:eastAsia="zh-CN"/>
        </w:rPr>
        <w:t>现场勘查为准。</w:t>
      </w:r>
    </w:p>
    <w:p>
      <w:pPr>
        <w:pStyle w:val="15"/>
        <w:spacing w:line="360" w:lineRule="auto"/>
        <w:rPr>
          <w:sz w:val="24"/>
          <w:szCs w:val="24"/>
          <w:highlight w:val="none"/>
          <w:lang w:eastAsia="zh-CN"/>
        </w:rPr>
      </w:pPr>
      <w:r>
        <w:rPr>
          <w:rFonts w:hint="eastAsia"/>
          <w:spacing w:val="8"/>
          <w:sz w:val="24"/>
          <w:szCs w:val="24"/>
          <w:highlight w:val="none"/>
          <w:lang w:eastAsia="zh-CN"/>
        </w:rPr>
        <w:t>9.5在交接过程阶段，需由招标人相关工作人员签字确认</w:t>
      </w:r>
      <w:r>
        <w:rPr>
          <w:rFonts w:hint="eastAsia"/>
          <w:spacing w:val="7"/>
          <w:sz w:val="24"/>
          <w:szCs w:val="24"/>
          <w:highlight w:val="none"/>
          <w:lang w:eastAsia="zh-CN"/>
        </w:rPr>
        <w:t>、认</w:t>
      </w:r>
      <w:r>
        <w:rPr>
          <w:rFonts w:hint="eastAsia"/>
          <w:spacing w:val="-1"/>
          <w:sz w:val="24"/>
          <w:szCs w:val="24"/>
          <w:highlight w:val="none"/>
          <w:lang w:eastAsia="zh-CN"/>
        </w:rPr>
        <w:t>可。</w:t>
      </w:r>
    </w:p>
    <w:p>
      <w:pPr>
        <w:pStyle w:val="15"/>
        <w:spacing w:line="360" w:lineRule="auto"/>
        <w:rPr>
          <w:sz w:val="24"/>
          <w:szCs w:val="24"/>
          <w:highlight w:val="none"/>
          <w:lang w:eastAsia="zh-CN"/>
        </w:rPr>
      </w:pPr>
      <w:r>
        <w:rPr>
          <w:rFonts w:hint="eastAsia"/>
          <w:b/>
          <w:bCs/>
          <w:spacing w:val="8"/>
          <w:sz w:val="24"/>
          <w:szCs w:val="24"/>
          <w:highlight w:val="none"/>
          <w:lang w:eastAsia="zh-CN"/>
        </w:rPr>
        <w:t>★</w:t>
      </w:r>
      <w:r>
        <w:rPr>
          <w:rFonts w:hint="eastAsia"/>
          <w:b/>
          <w:bCs/>
          <w:spacing w:val="6"/>
          <w:sz w:val="24"/>
          <w:szCs w:val="24"/>
          <w:highlight w:val="none"/>
          <w:lang w:eastAsia="zh-CN"/>
        </w:rPr>
        <w:t>10.若搬迁过程中涉及到样品、试剂（不含危险</w:t>
      </w:r>
      <w:r>
        <w:rPr>
          <w:rFonts w:hint="eastAsia"/>
          <w:b/>
          <w:bCs/>
          <w:spacing w:val="5"/>
          <w:sz w:val="24"/>
          <w:szCs w:val="24"/>
          <w:highlight w:val="none"/>
          <w:lang w:eastAsia="zh-CN"/>
        </w:rPr>
        <w:t>化学品）、</w:t>
      </w:r>
      <w:r>
        <w:rPr>
          <w:rFonts w:hint="eastAsia"/>
          <w:b/>
          <w:bCs/>
          <w:spacing w:val="6"/>
          <w:sz w:val="24"/>
          <w:szCs w:val="24"/>
          <w:highlight w:val="none"/>
          <w:lang w:eastAsia="zh-CN"/>
        </w:rPr>
        <w:t>标准试剂、危险化学品、</w:t>
      </w:r>
      <w:r>
        <w:rPr>
          <w:rFonts w:hint="eastAsia"/>
          <w:b/>
          <w:bCs/>
          <w:color w:val="FF0000"/>
          <w:spacing w:val="6"/>
          <w:sz w:val="24"/>
          <w:szCs w:val="24"/>
          <w:highlight w:val="none"/>
          <w:lang w:eastAsia="zh-CN"/>
        </w:rPr>
        <w:t>气瓶、</w:t>
      </w:r>
      <w:r>
        <w:rPr>
          <w:rFonts w:hint="eastAsia"/>
          <w:b/>
          <w:bCs/>
          <w:spacing w:val="6"/>
          <w:sz w:val="24"/>
          <w:szCs w:val="24"/>
          <w:highlight w:val="none"/>
          <w:lang w:eastAsia="zh-CN"/>
        </w:rPr>
        <w:t>耗材的，按照下列</w:t>
      </w:r>
      <w:r>
        <w:rPr>
          <w:rFonts w:hint="eastAsia"/>
          <w:b/>
          <w:bCs/>
          <w:spacing w:val="5"/>
          <w:sz w:val="24"/>
          <w:szCs w:val="24"/>
          <w:highlight w:val="none"/>
          <w:lang w:eastAsia="zh-CN"/>
        </w:rPr>
        <w:t>要求搬迁：</w:t>
      </w:r>
    </w:p>
    <w:p>
      <w:pPr>
        <w:pStyle w:val="15"/>
        <w:spacing w:line="360" w:lineRule="auto"/>
        <w:rPr>
          <w:sz w:val="24"/>
          <w:szCs w:val="24"/>
          <w:highlight w:val="none"/>
          <w:lang w:eastAsia="zh-CN"/>
        </w:rPr>
      </w:pPr>
      <w:r>
        <w:rPr>
          <w:rFonts w:hint="eastAsia"/>
          <w:spacing w:val="9"/>
          <w:sz w:val="24"/>
          <w:szCs w:val="24"/>
          <w:highlight w:val="none"/>
          <w:lang w:eastAsia="zh-CN"/>
        </w:rPr>
        <w:t>10.1</w:t>
      </w:r>
      <w:r>
        <w:rPr>
          <w:rFonts w:hint="eastAsia"/>
          <w:color w:val="FF0000"/>
          <w:spacing w:val="9"/>
          <w:sz w:val="24"/>
          <w:szCs w:val="24"/>
          <w:highlight w:val="none"/>
          <w:lang w:eastAsia="zh-CN"/>
        </w:rPr>
        <w:t>气瓶、</w:t>
      </w:r>
      <w:r>
        <w:rPr>
          <w:rFonts w:hint="eastAsia"/>
          <w:spacing w:val="9"/>
          <w:sz w:val="24"/>
          <w:szCs w:val="24"/>
          <w:highlight w:val="none"/>
          <w:lang w:eastAsia="zh-CN"/>
        </w:rPr>
        <w:t>样品、试剂及耗材需由满足其储存条件（如</w:t>
      </w:r>
      <w:r>
        <w:rPr>
          <w:rFonts w:hint="eastAsia"/>
          <w:color w:val="FF0000"/>
          <w:spacing w:val="9"/>
          <w:sz w:val="24"/>
          <w:szCs w:val="24"/>
          <w:highlight w:val="none"/>
          <w:lang w:eastAsia="zh-CN"/>
        </w:rPr>
        <w:t>防爆、防倾倒、</w:t>
      </w:r>
      <w:r>
        <w:rPr>
          <w:rFonts w:hint="eastAsia"/>
          <w:spacing w:val="9"/>
          <w:sz w:val="24"/>
          <w:szCs w:val="24"/>
          <w:highlight w:val="none"/>
          <w:lang w:eastAsia="zh-CN"/>
        </w:rPr>
        <w:t>温湿度、遮</w:t>
      </w:r>
      <w:r>
        <w:rPr>
          <w:rFonts w:hint="eastAsia"/>
          <w:spacing w:val="7"/>
          <w:sz w:val="24"/>
          <w:szCs w:val="24"/>
          <w:highlight w:val="none"/>
          <w:lang w:eastAsia="zh-CN"/>
        </w:rPr>
        <w:t>光等）的车辆完成运输；</w:t>
      </w:r>
    </w:p>
    <w:p>
      <w:pPr>
        <w:pStyle w:val="15"/>
        <w:spacing w:line="360" w:lineRule="auto"/>
        <w:rPr>
          <w:sz w:val="24"/>
          <w:szCs w:val="24"/>
          <w:highlight w:val="none"/>
          <w:lang w:eastAsia="zh-CN"/>
        </w:rPr>
      </w:pPr>
      <w:r>
        <w:rPr>
          <w:rFonts w:hint="eastAsia"/>
          <w:spacing w:val="9"/>
          <w:sz w:val="24"/>
          <w:szCs w:val="24"/>
          <w:highlight w:val="none"/>
          <w:lang w:eastAsia="zh-CN"/>
        </w:rPr>
        <w:t>10.2</w:t>
      </w:r>
      <w:r>
        <w:rPr>
          <w:rFonts w:hint="eastAsia"/>
          <w:spacing w:val="8"/>
          <w:sz w:val="24"/>
          <w:szCs w:val="24"/>
          <w:highlight w:val="none"/>
          <w:lang w:eastAsia="zh-CN"/>
        </w:rPr>
        <w:t>运输过程中，必须有一名招标人工作人员全程跟车；</w:t>
      </w:r>
      <w:r>
        <w:rPr>
          <w:rFonts w:hint="eastAsia"/>
          <w:spacing w:val="9"/>
          <w:sz w:val="24"/>
          <w:szCs w:val="24"/>
          <w:highlight w:val="none"/>
          <w:lang w:eastAsia="zh-CN"/>
        </w:rPr>
        <w:t>（c）</w:t>
      </w:r>
      <w:r>
        <w:rPr>
          <w:rFonts w:hint="eastAsia"/>
          <w:spacing w:val="8"/>
          <w:sz w:val="24"/>
          <w:szCs w:val="24"/>
          <w:highlight w:val="none"/>
          <w:lang w:eastAsia="zh-CN"/>
        </w:rPr>
        <w:t>在交接过程阶段，需由招标人相关工作</w:t>
      </w:r>
      <w:r>
        <w:rPr>
          <w:rFonts w:hint="eastAsia"/>
          <w:spacing w:val="7"/>
          <w:sz w:val="24"/>
          <w:szCs w:val="24"/>
          <w:highlight w:val="none"/>
          <w:lang w:eastAsia="zh-CN"/>
        </w:rPr>
        <w:t>人员签字确认、</w:t>
      </w:r>
      <w:r>
        <w:rPr>
          <w:rFonts w:hint="eastAsia"/>
          <w:spacing w:val="3"/>
          <w:sz w:val="24"/>
          <w:szCs w:val="24"/>
          <w:highlight w:val="none"/>
          <w:lang w:eastAsia="zh-CN"/>
        </w:rPr>
        <w:t>认可。</w:t>
      </w:r>
    </w:p>
    <w:p>
      <w:pPr>
        <w:pStyle w:val="15"/>
        <w:spacing w:line="360" w:lineRule="auto"/>
        <w:rPr>
          <w:sz w:val="24"/>
          <w:szCs w:val="24"/>
          <w:highlight w:val="none"/>
          <w:lang w:eastAsia="zh-CN"/>
        </w:rPr>
      </w:pPr>
      <w:r>
        <w:rPr>
          <w:rFonts w:hint="eastAsia"/>
          <w:spacing w:val="4"/>
          <w:sz w:val="24"/>
          <w:szCs w:val="24"/>
          <w:highlight w:val="none"/>
          <w:lang w:eastAsia="zh-CN"/>
        </w:rPr>
        <w:t>10.3</w:t>
      </w:r>
      <w:r>
        <w:rPr>
          <w:rFonts w:hint="eastAsia"/>
          <w:spacing w:val="9"/>
          <w:sz w:val="24"/>
          <w:szCs w:val="24"/>
          <w:highlight w:val="none"/>
          <w:lang w:eastAsia="zh-CN"/>
        </w:rPr>
        <w:t>搬迁总负责人或技术负责人需配置具有专业仪器搬运资</w:t>
      </w:r>
      <w:r>
        <w:rPr>
          <w:rFonts w:hint="eastAsia"/>
          <w:spacing w:val="4"/>
          <w:sz w:val="24"/>
          <w:szCs w:val="24"/>
          <w:highlight w:val="none"/>
          <w:lang w:eastAsia="zh-CN"/>
        </w:rPr>
        <w:t>质的人员。</w:t>
      </w:r>
    </w:p>
    <w:p>
      <w:pPr>
        <w:pStyle w:val="15"/>
        <w:spacing w:line="360" w:lineRule="auto"/>
        <w:rPr>
          <w:sz w:val="24"/>
          <w:szCs w:val="24"/>
          <w:highlight w:val="none"/>
          <w:lang w:eastAsia="zh-CN"/>
        </w:rPr>
      </w:pPr>
      <w:r>
        <w:rPr>
          <w:rFonts w:hint="eastAsia"/>
          <w:spacing w:val="8"/>
          <w:sz w:val="24"/>
          <w:szCs w:val="24"/>
          <w:highlight w:val="none"/>
          <w:lang w:eastAsia="zh-CN"/>
        </w:rPr>
        <w:t>10.4需提供详细的</w:t>
      </w:r>
      <w:r>
        <w:rPr>
          <w:rFonts w:hint="eastAsia"/>
          <w:color w:val="FF0000"/>
          <w:spacing w:val="8"/>
          <w:sz w:val="24"/>
          <w:szCs w:val="24"/>
          <w:highlight w:val="none"/>
          <w:lang w:eastAsia="zh-CN"/>
        </w:rPr>
        <w:t>气瓶、</w:t>
      </w:r>
      <w:r>
        <w:rPr>
          <w:rFonts w:hint="eastAsia"/>
          <w:spacing w:val="8"/>
          <w:sz w:val="24"/>
          <w:szCs w:val="24"/>
          <w:highlight w:val="none"/>
          <w:lang w:eastAsia="zh-CN"/>
        </w:rPr>
        <w:t>标准物质、危险化学品、</w:t>
      </w:r>
      <w:r>
        <w:rPr>
          <w:rFonts w:hint="eastAsia"/>
          <w:spacing w:val="7"/>
          <w:sz w:val="24"/>
          <w:szCs w:val="24"/>
          <w:highlight w:val="none"/>
          <w:lang w:eastAsia="zh-CN"/>
        </w:rPr>
        <w:t>毒物搬迁管理、</w:t>
      </w:r>
      <w:r>
        <w:rPr>
          <w:rFonts w:hint="eastAsia"/>
          <w:spacing w:val="8"/>
          <w:sz w:val="24"/>
          <w:szCs w:val="24"/>
          <w:highlight w:val="none"/>
          <w:lang w:eastAsia="zh-CN"/>
        </w:rPr>
        <w:t>运输和存放的具体实施方案。</w:t>
      </w:r>
    </w:p>
    <w:p>
      <w:pPr>
        <w:pStyle w:val="15"/>
        <w:spacing w:line="360" w:lineRule="auto"/>
        <w:rPr>
          <w:sz w:val="24"/>
          <w:szCs w:val="24"/>
          <w:highlight w:val="none"/>
          <w:lang w:eastAsia="zh-CN"/>
        </w:rPr>
      </w:pPr>
      <w:r>
        <w:rPr>
          <w:rFonts w:hint="eastAsia"/>
          <w:spacing w:val="8"/>
          <w:sz w:val="24"/>
          <w:szCs w:val="24"/>
          <w:highlight w:val="none"/>
          <w:lang w:eastAsia="zh-CN"/>
        </w:rPr>
        <w:t>10.5</w:t>
      </w:r>
      <w:r>
        <w:rPr>
          <w:rFonts w:hint="eastAsia"/>
          <w:spacing w:val="9"/>
          <w:sz w:val="24"/>
          <w:szCs w:val="24"/>
          <w:highlight w:val="none"/>
          <w:lang w:eastAsia="zh-CN"/>
        </w:rPr>
        <w:t>搬迁前，需提供具体完善详细的</w:t>
      </w:r>
      <w:r>
        <w:rPr>
          <w:rFonts w:hint="eastAsia"/>
          <w:color w:val="FF0000"/>
          <w:spacing w:val="9"/>
          <w:sz w:val="24"/>
          <w:szCs w:val="24"/>
          <w:highlight w:val="none"/>
          <w:lang w:eastAsia="zh-CN"/>
        </w:rPr>
        <w:t>气瓶、</w:t>
      </w:r>
      <w:r>
        <w:rPr>
          <w:rFonts w:hint="eastAsia"/>
          <w:spacing w:val="9"/>
          <w:sz w:val="24"/>
          <w:szCs w:val="24"/>
          <w:highlight w:val="none"/>
          <w:lang w:eastAsia="zh-CN"/>
        </w:rPr>
        <w:t>危险化学品、有毒物质</w:t>
      </w:r>
      <w:r>
        <w:rPr>
          <w:rFonts w:hint="eastAsia"/>
          <w:spacing w:val="6"/>
          <w:sz w:val="24"/>
          <w:szCs w:val="24"/>
          <w:highlight w:val="none"/>
          <w:lang w:eastAsia="zh-CN"/>
        </w:rPr>
        <w:t>搬迁过程中泄露、丢失等紧急突发状况的应急预案，并保证遇到相</w:t>
      </w:r>
      <w:r>
        <w:rPr>
          <w:rFonts w:hint="eastAsia"/>
          <w:spacing w:val="8"/>
          <w:sz w:val="24"/>
          <w:szCs w:val="24"/>
          <w:highlight w:val="none"/>
          <w:lang w:eastAsia="zh-CN"/>
        </w:rPr>
        <w:t>关状况时能准确实施。</w:t>
      </w:r>
    </w:p>
    <w:p>
      <w:pPr>
        <w:pStyle w:val="15"/>
        <w:spacing w:line="360" w:lineRule="auto"/>
        <w:rPr>
          <w:b/>
          <w:bCs/>
          <w:sz w:val="24"/>
          <w:szCs w:val="24"/>
          <w:highlight w:val="none"/>
          <w:lang w:eastAsia="zh-CN"/>
        </w:rPr>
      </w:pPr>
      <w:r>
        <w:rPr>
          <w:rFonts w:hint="eastAsia"/>
          <w:b/>
          <w:bCs/>
          <w:spacing w:val="8"/>
          <w:sz w:val="24"/>
          <w:szCs w:val="24"/>
          <w:highlight w:val="none"/>
          <w:lang w:eastAsia="zh-CN"/>
        </w:rPr>
        <w:t>11.实验室家具</w:t>
      </w:r>
    </w:p>
    <w:p>
      <w:pPr>
        <w:pStyle w:val="15"/>
        <w:spacing w:line="360" w:lineRule="auto"/>
        <w:rPr>
          <w:sz w:val="24"/>
          <w:szCs w:val="24"/>
          <w:highlight w:val="none"/>
          <w:lang w:eastAsia="zh-CN"/>
        </w:rPr>
      </w:pPr>
      <w:r>
        <w:rPr>
          <w:rFonts w:hint="eastAsia"/>
          <w:spacing w:val="9"/>
          <w:sz w:val="24"/>
          <w:szCs w:val="24"/>
          <w:highlight w:val="none"/>
          <w:lang w:eastAsia="zh-CN"/>
        </w:rPr>
        <w:t>11.1对实验室家具，供应商应派遣专业工程师完成拆装，家</w:t>
      </w:r>
      <w:r>
        <w:rPr>
          <w:rFonts w:hint="eastAsia"/>
          <w:spacing w:val="8"/>
          <w:sz w:val="24"/>
          <w:szCs w:val="24"/>
          <w:highlight w:val="none"/>
          <w:lang w:eastAsia="zh-CN"/>
        </w:rPr>
        <w:t>具表面及易损部件须进行包装保护，安装后采取必要的加固措施。</w:t>
      </w:r>
    </w:p>
    <w:p>
      <w:pPr>
        <w:pStyle w:val="15"/>
        <w:spacing w:line="360" w:lineRule="auto"/>
        <w:rPr>
          <w:sz w:val="24"/>
          <w:szCs w:val="24"/>
          <w:highlight w:val="none"/>
          <w:lang w:eastAsia="zh-CN"/>
        </w:rPr>
      </w:pPr>
      <w:r>
        <w:rPr>
          <w:rFonts w:hint="eastAsia"/>
          <w:spacing w:val="7"/>
          <w:sz w:val="24"/>
          <w:szCs w:val="24"/>
          <w:highlight w:val="none"/>
          <w:lang w:eastAsia="zh-CN"/>
        </w:rPr>
        <w:t>11.2搬迁过程中对原有实验室家具应做好充分的保护措施，</w:t>
      </w:r>
      <w:r>
        <w:rPr>
          <w:rFonts w:hint="eastAsia"/>
          <w:spacing w:val="8"/>
          <w:sz w:val="24"/>
          <w:szCs w:val="24"/>
          <w:highlight w:val="none"/>
          <w:lang w:eastAsia="zh-CN"/>
        </w:rPr>
        <w:t>若不慎损坏的，由供应商照价赔偿。</w:t>
      </w:r>
    </w:p>
    <w:p>
      <w:pPr>
        <w:pStyle w:val="15"/>
        <w:spacing w:line="360" w:lineRule="auto"/>
        <w:rPr>
          <w:sz w:val="24"/>
          <w:szCs w:val="24"/>
          <w:highlight w:val="none"/>
          <w:lang w:eastAsia="zh-CN"/>
        </w:rPr>
      </w:pPr>
      <w:r>
        <w:rPr>
          <w:rFonts w:hint="eastAsia"/>
          <w:b/>
          <w:bCs/>
          <w:spacing w:val="2"/>
          <w:sz w:val="24"/>
          <w:szCs w:val="24"/>
          <w:highlight w:val="none"/>
          <w:lang w:eastAsia="zh-CN"/>
        </w:rPr>
        <w:t>11.供应商负责搬迁范围内场地的前后清洁，包括</w:t>
      </w:r>
      <w:r>
        <w:rPr>
          <w:rFonts w:hint="eastAsia"/>
          <w:b/>
          <w:bCs/>
          <w:spacing w:val="1"/>
          <w:sz w:val="24"/>
          <w:szCs w:val="24"/>
          <w:highlight w:val="none"/>
          <w:lang w:eastAsia="zh-CN"/>
        </w:rPr>
        <w:t>办公（实验室）</w:t>
      </w:r>
      <w:r>
        <w:rPr>
          <w:rFonts w:hint="eastAsia"/>
          <w:b/>
          <w:bCs/>
          <w:spacing w:val="2"/>
          <w:sz w:val="24"/>
          <w:szCs w:val="24"/>
          <w:highlight w:val="none"/>
          <w:lang w:eastAsia="zh-CN"/>
        </w:rPr>
        <w:t>地面、家具，工作台面、窗户等。供应商负</w:t>
      </w:r>
      <w:r>
        <w:rPr>
          <w:rFonts w:hint="eastAsia"/>
          <w:b/>
          <w:bCs/>
          <w:spacing w:val="1"/>
          <w:sz w:val="24"/>
          <w:szCs w:val="24"/>
          <w:highlight w:val="none"/>
          <w:lang w:eastAsia="zh-CN"/>
        </w:rPr>
        <w:t>责清运搬迁产生的垃圾。</w:t>
      </w:r>
    </w:p>
    <w:p>
      <w:pPr>
        <w:pStyle w:val="15"/>
        <w:spacing w:line="360" w:lineRule="auto"/>
        <w:rPr>
          <w:sz w:val="24"/>
          <w:szCs w:val="24"/>
          <w:highlight w:val="none"/>
          <w:lang w:eastAsia="zh-CN"/>
        </w:rPr>
      </w:pPr>
      <w:r>
        <w:rPr>
          <w:rFonts w:hint="eastAsia"/>
          <w:spacing w:val="8"/>
          <w:sz w:val="24"/>
          <w:szCs w:val="24"/>
          <w:highlight w:val="none"/>
          <w:lang w:eastAsia="zh-CN"/>
        </w:rPr>
        <w:t>11.1对搬入区域进行搬迁前后各一次的卫生清洁；</w:t>
      </w:r>
    </w:p>
    <w:p>
      <w:pPr>
        <w:pStyle w:val="15"/>
        <w:spacing w:line="360" w:lineRule="auto"/>
        <w:rPr>
          <w:sz w:val="24"/>
          <w:szCs w:val="24"/>
          <w:highlight w:val="none"/>
          <w:lang w:eastAsia="zh-CN"/>
        </w:rPr>
      </w:pPr>
      <w:r>
        <w:rPr>
          <w:rFonts w:hint="eastAsia"/>
          <w:spacing w:val="8"/>
          <w:sz w:val="24"/>
          <w:szCs w:val="24"/>
          <w:highlight w:val="none"/>
          <w:lang w:eastAsia="zh-CN"/>
        </w:rPr>
        <w:t>11.2对搬出后区域进行一次卫生清洁。</w:t>
      </w:r>
    </w:p>
    <w:p>
      <w:pPr>
        <w:pStyle w:val="15"/>
        <w:spacing w:line="360" w:lineRule="auto"/>
        <w:rPr>
          <w:sz w:val="24"/>
          <w:szCs w:val="24"/>
          <w:highlight w:val="none"/>
          <w:lang w:eastAsia="zh-CN"/>
        </w:rPr>
      </w:pPr>
      <w:r>
        <w:rPr>
          <w:rFonts w:hint="eastAsia"/>
          <w:b/>
          <w:bCs/>
          <w:spacing w:val="8"/>
          <w:sz w:val="24"/>
          <w:szCs w:val="24"/>
          <w:highlight w:val="none"/>
          <w:lang w:eastAsia="zh-CN"/>
        </w:rPr>
        <w:t>★</w:t>
      </w:r>
      <w:r>
        <w:rPr>
          <w:rFonts w:hint="eastAsia"/>
          <w:b/>
          <w:bCs/>
          <w:spacing w:val="5"/>
          <w:sz w:val="24"/>
          <w:szCs w:val="24"/>
          <w:highlight w:val="none"/>
          <w:lang w:eastAsia="zh-CN"/>
        </w:rPr>
        <w:t>12.搬迁流程管控</w:t>
      </w:r>
    </w:p>
    <w:p>
      <w:pPr>
        <w:pStyle w:val="15"/>
        <w:spacing w:line="360" w:lineRule="auto"/>
        <w:rPr>
          <w:sz w:val="24"/>
          <w:szCs w:val="24"/>
          <w:highlight w:val="none"/>
          <w:lang w:eastAsia="zh-CN"/>
        </w:rPr>
      </w:pPr>
      <w:r>
        <w:rPr>
          <w:rFonts w:hint="eastAsia"/>
          <w:spacing w:val="8"/>
          <w:sz w:val="24"/>
          <w:szCs w:val="24"/>
          <w:highlight w:val="none"/>
          <w:lang w:eastAsia="zh-CN"/>
        </w:rPr>
        <w:t>12.1</w:t>
      </w:r>
      <w:r>
        <w:rPr>
          <w:rFonts w:hint="eastAsia"/>
          <w:spacing w:val="-38"/>
          <w:sz w:val="24"/>
          <w:szCs w:val="24"/>
          <w:highlight w:val="none"/>
          <w:lang w:eastAsia="zh-CN"/>
        </w:rPr>
        <w:t xml:space="preserve"> </w:t>
      </w:r>
      <w:r>
        <w:rPr>
          <w:rFonts w:hint="eastAsia"/>
          <w:spacing w:val="8"/>
          <w:sz w:val="24"/>
          <w:szCs w:val="24"/>
          <w:highlight w:val="none"/>
          <w:lang w:eastAsia="zh-CN"/>
        </w:rPr>
        <w:t>为了避免搬迁前后出现不一致的情况，需要实施过程溯</w:t>
      </w:r>
      <w:r>
        <w:rPr>
          <w:rFonts w:hint="eastAsia"/>
          <w:spacing w:val="6"/>
          <w:sz w:val="24"/>
          <w:szCs w:val="24"/>
          <w:highlight w:val="none"/>
          <w:lang w:eastAsia="zh-CN"/>
        </w:rPr>
        <w:t>源记录管理，供应商需对以下过程的工作内容和对应工作人员实施全面的文档记录：项目进度、仪器拆卸前测试、仪器打包、仪器运输、仪器安装后测试、项目管理、任务分配、车辆管理、拆机打包</w:t>
      </w:r>
      <w:r>
        <w:rPr>
          <w:rFonts w:hint="eastAsia"/>
          <w:spacing w:val="-1"/>
          <w:sz w:val="24"/>
          <w:szCs w:val="24"/>
          <w:highlight w:val="none"/>
          <w:lang w:eastAsia="zh-CN"/>
        </w:rPr>
        <w:t>等。</w:t>
      </w:r>
    </w:p>
    <w:p>
      <w:pPr>
        <w:pStyle w:val="15"/>
        <w:spacing w:line="360" w:lineRule="auto"/>
        <w:rPr>
          <w:sz w:val="24"/>
          <w:szCs w:val="24"/>
          <w:highlight w:val="none"/>
          <w:lang w:eastAsia="zh-CN"/>
        </w:rPr>
      </w:pPr>
      <w:r>
        <w:rPr>
          <w:rFonts w:hint="eastAsia"/>
          <w:spacing w:val="7"/>
          <w:sz w:val="24"/>
          <w:szCs w:val="24"/>
          <w:highlight w:val="none"/>
          <w:lang w:eastAsia="zh-CN"/>
        </w:rPr>
        <w:t>12.2</w:t>
      </w:r>
      <w:r>
        <w:rPr>
          <w:rFonts w:hint="eastAsia"/>
          <w:spacing w:val="-11"/>
          <w:sz w:val="24"/>
          <w:szCs w:val="24"/>
          <w:highlight w:val="none"/>
          <w:lang w:eastAsia="zh-CN"/>
        </w:rPr>
        <w:t xml:space="preserve"> </w:t>
      </w:r>
      <w:r>
        <w:rPr>
          <w:rFonts w:hint="eastAsia"/>
          <w:spacing w:val="7"/>
          <w:sz w:val="24"/>
          <w:szCs w:val="24"/>
          <w:highlight w:val="none"/>
          <w:lang w:eastAsia="zh-CN"/>
        </w:rPr>
        <w:t>需制作详细搬迁服务方案，成立搬迁专项实施小组，制</w:t>
      </w:r>
      <w:r>
        <w:rPr>
          <w:rFonts w:hint="eastAsia"/>
          <w:spacing w:val="6"/>
          <w:sz w:val="24"/>
          <w:szCs w:val="24"/>
          <w:highlight w:val="none"/>
          <w:lang w:eastAsia="zh-CN"/>
        </w:rPr>
        <w:t>作《实验室搬迁新址环境检查表》等表格对搬迁负责人员、搬迁步</w:t>
      </w:r>
      <w:r>
        <w:rPr>
          <w:rFonts w:hint="eastAsia"/>
          <w:spacing w:val="8"/>
          <w:sz w:val="24"/>
          <w:szCs w:val="24"/>
          <w:highlight w:val="none"/>
          <w:lang w:eastAsia="zh-CN"/>
        </w:rPr>
        <w:t>骤等各项进行记录和确认；</w:t>
      </w:r>
    </w:p>
    <w:p>
      <w:pPr>
        <w:pStyle w:val="15"/>
        <w:spacing w:line="360" w:lineRule="auto"/>
        <w:rPr>
          <w:sz w:val="24"/>
          <w:szCs w:val="24"/>
          <w:highlight w:val="none"/>
          <w:lang w:eastAsia="zh-CN"/>
        </w:rPr>
      </w:pPr>
      <w:r>
        <w:rPr>
          <w:rFonts w:hint="eastAsia"/>
          <w:spacing w:val="8"/>
          <w:sz w:val="24"/>
          <w:szCs w:val="24"/>
          <w:highlight w:val="none"/>
          <w:lang w:eastAsia="zh-CN"/>
        </w:rPr>
        <w:t>12.3</w:t>
      </w:r>
      <w:r>
        <w:rPr>
          <w:rFonts w:hint="eastAsia"/>
          <w:spacing w:val="-39"/>
          <w:sz w:val="24"/>
          <w:szCs w:val="24"/>
          <w:highlight w:val="none"/>
          <w:lang w:eastAsia="zh-CN"/>
        </w:rPr>
        <w:t xml:space="preserve"> </w:t>
      </w:r>
      <w:r>
        <w:rPr>
          <w:rFonts w:hint="eastAsia"/>
          <w:spacing w:val="8"/>
          <w:sz w:val="24"/>
          <w:szCs w:val="24"/>
          <w:highlight w:val="none"/>
          <w:lang w:eastAsia="zh-CN"/>
        </w:rPr>
        <w:t>对于搬迁过程中的安全风险因素需做到识别与控制，需</w:t>
      </w:r>
      <w:r>
        <w:rPr>
          <w:rFonts w:hint="eastAsia"/>
          <w:spacing w:val="1"/>
          <w:sz w:val="24"/>
          <w:szCs w:val="24"/>
          <w:highlight w:val="none"/>
          <w:lang w:eastAsia="zh-CN"/>
        </w:rPr>
        <w:t>要熟知生物安全危险源，识别有毒有害试剂，识别电离辐射危险源，</w:t>
      </w:r>
      <w:r>
        <w:rPr>
          <w:rFonts w:hint="eastAsia"/>
          <w:spacing w:val="6"/>
          <w:sz w:val="24"/>
          <w:szCs w:val="24"/>
          <w:highlight w:val="none"/>
          <w:lang w:eastAsia="zh-CN"/>
        </w:rPr>
        <w:t>防触电，防止设备跌落砸伤，对于易燃易爆物品的危险特性做好防护，对于可能产生的安全风险制定相应的应急预案，如出现意外由</w:t>
      </w:r>
      <w:r>
        <w:rPr>
          <w:rFonts w:hint="eastAsia"/>
          <w:spacing w:val="7"/>
          <w:sz w:val="24"/>
          <w:szCs w:val="24"/>
          <w:highlight w:val="none"/>
          <w:lang w:eastAsia="zh-CN"/>
        </w:rPr>
        <w:t>服务商全权负责；</w:t>
      </w:r>
    </w:p>
    <w:p>
      <w:pPr>
        <w:pStyle w:val="15"/>
        <w:spacing w:line="360" w:lineRule="auto"/>
        <w:rPr>
          <w:sz w:val="24"/>
          <w:szCs w:val="24"/>
          <w:highlight w:val="none"/>
          <w:lang w:eastAsia="zh-CN"/>
        </w:rPr>
      </w:pPr>
      <w:r>
        <w:rPr>
          <w:rFonts w:hint="eastAsia"/>
          <w:b/>
          <w:bCs/>
          <w:spacing w:val="7"/>
          <w:sz w:val="24"/>
          <w:szCs w:val="24"/>
          <w:highlight w:val="none"/>
          <w:lang w:eastAsia="zh-CN"/>
        </w:rPr>
        <w:t>13.从业人员及人员配置要求：</w:t>
      </w:r>
    </w:p>
    <w:p>
      <w:pPr>
        <w:pStyle w:val="15"/>
        <w:spacing w:line="360" w:lineRule="auto"/>
        <w:rPr>
          <w:sz w:val="24"/>
          <w:szCs w:val="24"/>
          <w:highlight w:val="none"/>
          <w:lang w:eastAsia="zh-CN"/>
        </w:rPr>
      </w:pPr>
      <w:r>
        <w:rPr>
          <w:rFonts w:hint="eastAsia"/>
          <w:spacing w:val="4"/>
          <w:sz w:val="24"/>
          <w:szCs w:val="24"/>
          <w:highlight w:val="none"/>
          <w:lang w:eastAsia="zh-CN"/>
        </w:rPr>
        <w:t>13.1</w:t>
      </w:r>
      <w:r>
        <w:rPr>
          <w:rFonts w:hint="eastAsia"/>
          <w:spacing w:val="-21"/>
          <w:sz w:val="24"/>
          <w:szCs w:val="24"/>
          <w:highlight w:val="none"/>
          <w:lang w:eastAsia="zh-CN"/>
        </w:rPr>
        <w:t xml:space="preserve"> </w:t>
      </w:r>
      <w:r>
        <w:rPr>
          <w:rFonts w:hint="eastAsia"/>
          <w:spacing w:val="4"/>
          <w:sz w:val="24"/>
          <w:szCs w:val="24"/>
          <w:highlight w:val="none"/>
          <w:lang w:eastAsia="zh-CN"/>
        </w:rPr>
        <w:t>需指派现场指挥人员和安全员，负责搬运工作协调指挥；</w:t>
      </w:r>
      <w:r>
        <w:rPr>
          <w:rFonts w:hint="eastAsia"/>
          <w:spacing w:val="6"/>
          <w:sz w:val="24"/>
          <w:szCs w:val="24"/>
          <w:highlight w:val="none"/>
          <w:lang w:eastAsia="zh-CN"/>
        </w:rPr>
        <w:t>提供电工、钳工、起重工等相关工种专业人员，解决拆卸、运输及</w:t>
      </w:r>
      <w:r>
        <w:rPr>
          <w:rFonts w:hint="eastAsia"/>
          <w:spacing w:val="8"/>
          <w:sz w:val="24"/>
          <w:szCs w:val="24"/>
          <w:highlight w:val="none"/>
          <w:lang w:eastAsia="zh-CN"/>
        </w:rPr>
        <w:t>安装调试的各种问题，满足搬运要求；须指派装、卸作业统计</w:t>
      </w:r>
      <w:r>
        <w:rPr>
          <w:rFonts w:hint="eastAsia"/>
          <w:spacing w:val="7"/>
          <w:sz w:val="24"/>
          <w:szCs w:val="24"/>
          <w:highlight w:val="none"/>
          <w:lang w:eastAsia="zh-CN"/>
        </w:rPr>
        <w:t>员，</w:t>
      </w:r>
      <w:r>
        <w:rPr>
          <w:rFonts w:hint="eastAsia"/>
          <w:spacing w:val="6"/>
          <w:sz w:val="24"/>
          <w:szCs w:val="24"/>
          <w:highlight w:val="none"/>
          <w:lang w:eastAsia="zh-CN"/>
        </w:rPr>
        <w:t>与采购现场人员共同负责查验，并提供装运清单、安装调试确认单</w:t>
      </w:r>
      <w:r>
        <w:rPr>
          <w:rFonts w:hint="eastAsia"/>
          <w:spacing w:val="4"/>
          <w:sz w:val="24"/>
          <w:szCs w:val="24"/>
          <w:highlight w:val="none"/>
          <w:lang w:eastAsia="zh-CN"/>
        </w:rPr>
        <w:t>等报表。</w:t>
      </w:r>
    </w:p>
    <w:p>
      <w:pPr>
        <w:pStyle w:val="15"/>
        <w:spacing w:line="360" w:lineRule="auto"/>
        <w:rPr>
          <w:sz w:val="24"/>
          <w:szCs w:val="24"/>
          <w:highlight w:val="none"/>
          <w:lang w:eastAsia="zh-CN"/>
        </w:rPr>
      </w:pPr>
      <w:r>
        <w:rPr>
          <w:rFonts w:hint="eastAsia"/>
          <w:spacing w:val="7"/>
          <w:sz w:val="24"/>
          <w:szCs w:val="24"/>
          <w:highlight w:val="none"/>
          <w:lang w:eastAsia="zh-CN"/>
        </w:rPr>
        <w:t>13.2</w:t>
      </w:r>
      <w:r>
        <w:rPr>
          <w:rFonts w:hint="eastAsia"/>
          <w:spacing w:val="-11"/>
          <w:sz w:val="24"/>
          <w:szCs w:val="24"/>
          <w:highlight w:val="none"/>
          <w:lang w:eastAsia="zh-CN"/>
        </w:rPr>
        <w:t xml:space="preserve"> </w:t>
      </w:r>
      <w:r>
        <w:rPr>
          <w:rFonts w:hint="eastAsia"/>
          <w:spacing w:val="7"/>
          <w:sz w:val="24"/>
          <w:szCs w:val="24"/>
          <w:highlight w:val="none"/>
          <w:lang w:eastAsia="zh-CN"/>
        </w:rPr>
        <w:t>需保证负责包装、运输、搬运的作业人员具备使用相应工具、设备的操作许可或资质证书（对应车辆的驾驶证等</w:t>
      </w:r>
      <w:r>
        <w:rPr>
          <w:rFonts w:hint="eastAsia"/>
          <w:spacing w:val="-4"/>
          <w:sz w:val="24"/>
          <w:szCs w:val="24"/>
          <w:highlight w:val="none"/>
          <w:lang w:eastAsia="zh-CN"/>
        </w:rPr>
        <w:t>）；</w:t>
      </w:r>
      <w:r>
        <w:rPr>
          <w:rFonts w:hint="eastAsia"/>
          <w:spacing w:val="6"/>
          <w:sz w:val="24"/>
          <w:szCs w:val="24"/>
          <w:highlight w:val="none"/>
          <w:lang w:eastAsia="zh-CN"/>
        </w:rPr>
        <w:t>需保</w:t>
      </w:r>
      <w:r>
        <w:rPr>
          <w:rFonts w:hint="eastAsia"/>
          <w:spacing w:val="9"/>
          <w:sz w:val="24"/>
          <w:szCs w:val="24"/>
          <w:highlight w:val="none"/>
          <w:lang w:eastAsia="zh-CN"/>
        </w:rPr>
        <w:t>证搬迁过程中所用到的特种机械及工具的操作人员具备特种行业</w:t>
      </w:r>
      <w:r>
        <w:rPr>
          <w:rFonts w:hint="eastAsia"/>
          <w:spacing w:val="6"/>
          <w:sz w:val="24"/>
          <w:szCs w:val="24"/>
          <w:highlight w:val="none"/>
          <w:lang w:eastAsia="zh-CN"/>
        </w:rPr>
        <w:t>作业资格证书；负责大型精密仪器设备测试、拆装工作的工程师应具备相应仪器设备的操作许可或资质证书；负责仪器设备测试、拆</w:t>
      </w:r>
      <w:r>
        <w:rPr>
          <w:rFonts w:hint="eastAsia"/>
          <w:spacing w:val="9"/>
          <w:sz w:val="24"/>
          <w:szCs w:val="24"/>
          <w:highlight w:val="none"/>
          <w:lang w:eastAsia="zh-CN"/>
        </w:rPr>
        <w:t>装工作的工程师应具备相应仪器设备的操作许可或资质证书。</w:t>
      </w:r>
    </w:p>
    <w:p>
      <w:pPr>
        <w:pStyle w:val="15"/>
        <w:spacing w:line="360" w:lineRule="auto"/>
        <w:rPr>
          <w:spacing w:val="8"/>
          <w:sz w:val="24"/>
          <w:szCs w:val="24"/>
          <w:highlight w:val="none"/>
          <w:lang w:eastAsia="zh-CN"/>
        </w:rPr>
      </w:pPr>
      <w:r>
        <w:rPr>
          <w:rFonts w:hint="eastAsia"/>
          <w:spacing w:val="8"/>
          <w:sz w:val="24"/>
          <w:szCs w:val="24"/>
          <w:highlight w:val="none"/>
          <w:lang w:eastAsia="zh-CN"/>
        </w:rPr>
        <w:t>13.4</w:t>
      </w:r>
      <w:r>
        <w:rPr>
          <w:rFonts w:hint="eastAsia"/>
          <w:spacing w:val="-39"/>
          <w:sz w:val="24"/>
          <w:szCs w:val="24"/>
          <w:highlight w:val="none"/>
          <w:lang w:eastAsia="zh-CN"/>
        </w:rPr>
        <w:t xml:space="preserve"> </w:t>
      </w:r>
      <w:r>
        <w:rPr>
          <w:rFonts w:hint="eastAsia"/>
          <w:spacing w:val="8"/>
          <w:sz w:val="24"/>
          <w:szCs w:val="24"/>
          <w:highlight w:val="none"/>
          <w:lang w:eastAsia="zh-CN"/>
        </w:rPr>
        <w:t>搬迁人员必须经过专业和安全培训，技术技能符合搬运要求；每日同时派驻到现场的工作人员人数不低于</w:t>
      </w:r>
      <w:r>
        <w:rPr>
          <w:rFonts w:hint="eastAsia"/>
          <w:spacing w:val="-33"/>
          <w:sz w:val="24"/>
          <w:szCs w:val="24"/>
          <w:highlight w:val="none"/>
          <w:lang w:eastAsia="zh-CN"/>
        </w:rPr>
        <w:t xml:space="preserve"> </w:t>
      </w:r>
      <w:r>
        <w:rPr>
          <w:rFonts w:hint="eastAsia"/>
          <w:spacing w:val="8"/>
          <w:sz w:val="24"/>
          <w:szCs w:val="24"/>
          <w:highlight w:val="none"/>
          <w:lang w:eastAsia="zh-CN"/>
        </w:rPr>
        <w:t>5</w:t>
      </w:r>
      <w:r>
        <w:rPr>
          <w:rFonts w:hint="eastAsia"/>
          <w:spacing w:val="-37"/>
          <w:sz w:val="24"/>
          <w:szCs w:val="24"/>
          <w:highlight w:val="none"/>
          <w:lang w:eastAsia="zh-CN"/>
        </w:rPr>
        <w:t xml:space="preserve"> </w:t>
      </w:r>
      <w:r>
        <w:rPr>
          <w:rFonts w:hint="eastAsia"/>
          <w:spacing w:val="8"/>
          <w:sz w:val="24"/>
          <w:szCs w:val="24"/>
          <w:highlight w:val="none"/>
          <w:lang w:eastAsia="zh-CN"/>
        </w:rPr>
        <w:t>人。</w:t>
      </w:r>
    </w:p>
    <w:p>
      <w:pPr>
        <w:pStyle w:val="15"/>
        <w:spacing w:line="360" w:lineRule="auto"/>
        <w:rPr>
          <w:b/>
          <w:bCs/>
          <w:spacing w:val="8"/>
          <w:sz w:val="24"/>
          <w:szCs w:val="24"/>
          <w:highlight w:val="none"/>
          <w:lang w:eastAsia="zh-CN"/>
        </w:rPr>
      </w:pPr>
      <w:r>
        <w:rPr>
          <w:rFonts w:hint="eastAsia"/>
          <w:b/>
          <w:bCs/>
          <w:spacing w:val="8"/>
          <w:sz w:val="24"/>
          <w:szCs w:val="24"/>
          <w:highlight w:val="none"/>
          <w:lang w:eastAsia="zh-CN"/>
        </w:rPr>
        <w:t>14、其他要求</w:t>
      </w:r>
    </w:p>
    <w:p>
      <w:pPr>
        <w:pStyle w:val="15"/>
        <w:spacing w:line="360" w:lineRule="auto"/>
        <w:rPr>
          <w:sz w:val="24"/>
          <w:szCs w:val="24"/>
          <w:highlight w:val="none"/>
          <w:lang w:eastAsia="zh-CN"/>
        </w:rPr>
      </w:pPr>
      <w:r>
        <w:rPr>
          <w:rFonts w:hint="eastAsia"/>
          <w:spacing w:val="9"/>
          <w:sz w:val="24"/>
          <w:szCs w:val="24"/>
          <w:highlight w:val="none"/>
          <w:lang w:eastAsia="zh-CN"/>
        </w:rPr>
        <w:t>14.1供应商应针对此项目提供完整技术方案和作业计划书，</w:t>
      </w:r>
      <w:r>
        <w:rPr>
          <w:rFonts w:hint="eastAsia"/>
          <w:spacing w:val="1"/>
          <w:sz w:val="24"/>
          <w:szCs w:val="24"/>
          <w:highlight w:val="none"/>
          <w:lang w:eastAsia="zh-CN"/>
        </w:rPr>
        <w:t>如：针对不同污染源（板材、家具、涂料、纺织品等）的处理方案。</w:t>
      </w:r>
    </w:p>
    <w:p>
      <w:pPr>
        <w:pStyle w:val="15"/>
        <w:spacing w:line="360" w:lineRule="auto"/>
        <w:rPr>
          <w:sz w:val="24"/>
          <w:szCs w:val="24"/>
          <w:highlight w:val="none"/>
          <w:lang w:eastAsia="zh-CN"/>
        </w:rPr>
      </w:pPr>
      <w:r>
        <w:rPr>
          <w:rFonts w:hint="eastAsia"/>
          <w:spacing w:val="9"/>
          <w:sz w:val="24"/>
          <w:szCs w:val="24"/>
          <w:highlight w:val="none"/>
          <w:lang w:eastAsia="zh-CN"/>
        </w:rPr>
        <w:t>14.2施工人员搬迁作业期间做好防护，需自行配备防护装备</w:t>
      </w:r>
      <w:r>
        <w:rPr>
          <w:rFonts w:hint="eastAsia"/>
          <w:spacing w:val="1"/>
          <w:sz w:val="24"/>
          <w:szCs w:val="24"/>
          <w:highlight w:val="none"/>
          <w:lang w:eastAsia="zh-CN"/>
        </w:rPr>
        <w:t>（口罩、护目镜、手套等）。</w:t>
      </w:r>
    </w:p>
    <w:p>
      <w:pPr>
        <w:pStyle w:val="15"/>
        <w:spacing w:line="360" w:lineRule="auto"/>
        <w:rPr>
          <w:sz w:val="24"/>
          <w:szCs w:val="24"/>
          <w:highlight w:val="none"/>
          <w:lang w:eastAsia="zh-CN"/>
        </w:rPr>
      </w:pPr>
      <w:r>
        <w:rPr>
          <w:rFonts w:hint="eastAsia"/>
          <w:spacing w:val="9"/>
          <w:sz w:val="24"/>
          <w:szCs w:val="24"/>
          <w:highlight w:val="none"/>
          <w:lang w:eastAsia="zh-CN"/>
        </w:rPr>
        <w:t>14.3搬迁完成后，须对拆卸或挪动的设施设备须进行归位和</w:t>
      </w:r>
      <w:r>
        <w:rPr>
          <w:rFonts w:hint="eastAsia"/>
          <w:spacing w:val="4"/>
          <w:sz w:val="24"/>
          <w:szCs w:val="24"/>
          <w:highlight w:val="none"/>
          <w:lang w:eastAsia="zh-CN"/>
        </w:rPr>
        <w:t>复原安装。</w:t>
      </w:r>
    </w:p>
    <w:p>
      <w:pPr>
        <w:pStyle w:val="15"/>
        <w:spacing w:line="360" w:lineRule="auto"/>
        <w:rPr>
          <w:sz w:val="24"/>
          <w:szCs w:val="24"/>
          <w:highlight w:val="none"/>
          <w:lang w:eastAsia="zh-CN"/>
        </w:rPr>
      </w:pPr>
      <w:r>
        <w:rPr>
          <w:rFonts w:hint="eastAsia"/>
          <w:spacing w:val="9"/>
          <w:sz w:val="24"/>
          <w:szCs w:val="24"/>
          <w:highlight w:val="none"/>
          <w:lang w:eastAsia="zh-CN"/>
        </w:rPr>
        <w:t>14.4废弃物品搬迁至招标人指定的地点，供应商不能自行处</w:t>
      </w:r>
      <w:r>
        <w:rPr>
          <w:rFonts w:hint="eastAsia"/>
          <w:spacing w:val="1"/>
          <w:sz w:val="24"/>
          <w:szCs w:val="24"/>
          <w:highlight w:val="none"/>
          <w:lang w:eastAsia="zh-CN"/>
        </w:rPr>
        <w:t>置。</w:t>
      </w:r>
    </w:p>
    <w:p>
      <w:pPr>
        <w:pStyle w:val="15"/>
        <w:spacing w:line="360" w:lineRule="auto"/>
        <w:rPr>
          <w:sz w:val="24"/>
          <w:szCs w:val="24"/>
          <w:highlight w:val="none"/>
          <w:lang w:eastAsia="zh-CN"/>
        </w:rPr>
      </w:pPr>
      <w:r>
        <w:rPr>
          <w:rFonts w:hint="eastAsia"/>
          <w:spacing w:val="9"/>
          <w:sz w:val="24"/>
          <w:szCs w:val="24"/>
          <w:highlight w:val="none"/>
          <w:lang w:eastAsia="zh-CN"/>
        </w:rPr>
        <w:t>14.5搬迁现场少量小设备及物资因遗漏未列入附件清单的也</w:t>
      </w:r>
      <w:r>
        <w:rPr>
          <w:rFonts w:hint="eastAsia"/>
          <w:spacing w:val="8"/>
          <w:sz w:val="24"/>
          <w:szCs w:val="24"/>
          <w:highlight w:val="none"/>
          <w:lang w:eastAsia="zh-CN"/>
        </w:rPr>
        <w:t>包含在搬迁范围及合同总价中。</w:t>
      </w:r>
    </w:p>
    <w:p>
      <w:pPr>
        <w:pStyle w:val="15"/>
        <w:spacing w:line="360" w:lineRule="auto"/>
        <w:rPr>
          <w:spacing w:val="7"/>
          <w:sz w:val="24"/>
          <w:szCs w:val="24"/>
          <w:highlight w:val="none"/>
          <w:lang w:eastAsia="zh-CN"/>
        </w:rPr>
      </w:pPr>
      <w:r>
        <w:rPr>
          <w:rFonts w:hint="eastAsia"/>
          <w:spacing w:val="9"/>
          <w:sz w:val="24"/>
          <w:szCs w:val="24"/>
          <w:highlight w:val="none"/>
          <w:lang w:eastAsia="zh-CN"/>
        </w:rPr>
        <w:t>14.6搬运方案经双方商定签字确认后，如因供应商原因未能</w:t>
      </w:r>
      <w:r>
        <w:rPr>
          <w:rFonts w:hint="eastAsia"/>
          <w:spacing w:val="5"/>
          <w:sz w:val="24"/>
          <w:szCs w:val="24"/>
          <w:highlight w:val="none"/>
          <w:lang w:eastAsia="zh-CN"/>
        </w:rPr>
        <w:t>按时完成搬迁，每延期</w:t>
      </w:r>
      <w:r>
        <w:rPr>
          <w:rFonts w:hint="eastAsia"/>
          <w:spacing w:val="-11"/>
          <w:sz w:val="24"/>
          <w:szCs w:val="24"/>
          <w:highlight w:val="none"/>
          <w:lang w:eastAsia="zh-CN"/>
        </w:rPr>
        <w:t xml:space="preserve"> </w:t>
      </w:r>
      <w:r>
        <w:rPr>
          <w:rFonts w:hint="eastAsia"/>
          <w:spacing w:val="5"/>
          <w:sz w:val="24"/>
          <w:szCs w:val="24"/>
          <w:highlight w:val="none"/>
          <w:lang w:eastAsia="zh-CN"/>
        </w:rPr>
        <w:t>1</w:t>
      </w:r>
      <w:r>
        <w:rPr>
          <w:rFonts w:hint="eastAsia"/>
          <w:spacing w:val="-33"/>
          <w:sz w:val="24"/>
          <w:szCs w:val="24"/>
          <w:highlight w:val="none"/>
          <w:lang w:eastAsia="zh-CN"/>
        </w:rPr>
        <w:t xml:space="preserve"> </w:t>
      </w:r>
      <w:r>
        <w:rPr>
          <w:rFonts w:hint="eastAsia"/>
          <w:spacing w:val="5"/>
          <w:sz w:val="24"/>
          <w:szCs w:val="24"/>
          <w:highlight w:val="none"/>
          <w:lang w:eastAsia="zh-CN"/>
        </w:rPr>
        <w:t>天按合同金额的</w:t>
      </w:r>
      <w:r>
        <w:rPr>
          <w:rFonts w:hint="eastAsia"/>
          <w:spacing w:val="-24"/>
          <w:sz w:val="24"/>
          <w:szCs w:val="24"/>
          <w:highlight w:val="none"/>
          <w:lang w:eastAsia="zh-CN"/>
        </w:rPr>
        <w:t xml:space="preserve"> </w:t>
      </w:r>
      <w:r>
        <w:rPr>
          <w:rFonts w:hint="eastAsia"/>
          <w:spacing w:val="5"/>
          <w:sz w:val="24"/>
          <w:szCs w:val="24"/>
          <w:highlight w:val="none"/>
          <w:lang w:eastAsia="zh-CN"/>
        </w:rPr>
        <w:t>5‰支付违约金，违约金</w:t>
      </w:r>
      <w:r>
        <w:rPr>
          <w:rFonts w:hint="eastAsia"/>
          <w:spacing w:val="7"/>
          <w:sz w:val="24"/>
          <w:szCs w:val="24"/>
          <w:highlight w:val="none"/>
          <w:lang w:eastAsia="zh-CN"/>
        </w:rPr>
        <w:t>从合同款中扣除。</w:t>
      </w:r>
    </w:p>
    <w:p>
      <w:pPr>
        <w:pStyle w:val="15"/>
        <w:spacing w:line="360" w:lineRule="auto"/>
        <w:rPr>
          <w:sz w:val="24"/>
          <w:szCs w:val="24"/>
          <w:highlight w:val="none"/>
          <w:lang w:eastAsia="zh-CN"/>
        </w:rPr>
      </w:pPr>
      <w:r>
        <w:rPr>
          <w:rFonts w:hint="eastAsia"/>
          <w:spacing w:val="9"/>
          <w:sz w:val="24"/>
          <w:szCs w:val="24"/>
          <w:highlight w:val="none"/>
          <w:lang w:eastAsia="zh-CN"/>
        </w:rPr>
        <w:t>14.7供应商应在响应文件中承诺为本项目所有尚未购买有人</w:t>
      </w:r>
      <w:r>
        <w:rPr>
          <w:rFonts w:hint="eastAsia"/>
          <w:spacing w:val="8"/>
          <w:sz w:val="24"/>
          <w:szCs w:val="24"/>
          <w:highlight w:val="none"/>
          <w:lang w:eastAsia="zh-CN"/>
        </w:rPr>
        <w:t>身意外险的搬迁人员购买人身意外险。</w:t>
      </w:r>
    </w:p>
    <w:p>
      <w:pPr>
        <w:pStyle w:val="15"/>
        <w:spacing w:line="360" w:lineRule="auto"/>
        <w:rPr>
          <w:sz w:val="24"/>
          <w:szCs w:val="24"/>
          <w:highlight w:val="none"/>
          <w:lang w:eastAsia="zh-CN"/>
        </w:rPr>
      </w:pPr>
      <w:r>
        <w:rPr>
          <w:rFonts w:hint="eastAsia"/>
          <w:spacing w:val="9"/>
          <w:sz w:val="24"/>
          <w:szCs w:val="24"/>
          <w:highlight w:val="none"/>
          <w:lang w:eastAsia="zh-CN"/>
        </w:rPr>
        <w:t>14.8供应商进场前，必须提供所有参加此次搬迁人员的身份</w:t>
      </w:r>
      <w:r>
        <w:rPr>
          <w:rFonts w:hint="eastAsia"/>
          <w:spacing w:val="5"/>
          <w:sz w:val="24"/>
          <w:szCs w:val="24"/>
          <w:highlight w:val="none"/>
          <w:lang w:eastAsia="zh-CN"/>
        </w:rPr>
        <w:t>证复印件。</w:t>
      </w:r>
    </w:p>
    <w:p>
      <w:pPr>
        <w:pStyle w:val="15"/>
        <w:spacing w:line="360" w:lineRule="auto"/>
        <w:rPr>
          <w:rFonts w:hint="default" w:eastAsia="仿宋_GB2312"/>
          <w:sz w:val="24"/>
          <w:szCs w:val="24"/>
          <w:highlight w:val="none"/>
          <w:lang w:val="en-US" w:eastAsia="zh-CN"/>
        </w:rPr>
      </w:pPr>
      <w:r>
        <w:rPr>
          <w:rFonts w:hint="eastAsia"/>
          <w:spacing w:val="6"/>
          <w:sz w:val="24"/>
          <w:szCs w:val="24"/>
          <w:highlight w:val="none"/>
          <w:lang w:eastAsia="zh-CN"/>
        </w:rPr>
        <w:t>14.9报价要求</w:t>
      </w:r>
      <w:r>
        <w:rPr>
          <w:rFonts w:hint="eastAsia"/>
          <w:spacing w:val="-46"/>
          <w:sz w:val="24"/>
          <w:szCs w:val="24"/>
          <w:highlight w:val="none"/>
          <w:lang w:eastAsia="zh-CN"/>
        </w:rPr>
        <w:t xml:space="preserve"> </w:t>
      </w:r>
      <w:r>
        <w:rPr>
          <w:rFonts w:hint="eastAsia"/>
          <w:spacing w:val="6"/>
          <w:sz w:val="24"/>
          <w:szCs w:val="24"/>
          <w:highlight w:val="none"/>
          <w:lang w:eastAsia="zh-CN"/>
        </w:rPr>
        <w:t>:</w:t>
      </w:r>
      <w:r>
        <w:rPr>
          <w:rFonts w:hint="eastAsia"/>
          <w:spacing w:val="9"/>
          <w:sz w:val="24"/>
          <w:szCs w:val="24"/>
          <w:highlight w:val="none"/>
          <w:lang w:val="en-US" w:eastAsia="zh-CN"/>
        </w:rPr>
        <w:t>详见</w:t>
      </w:r>
      <w:r>
        <w:rPr>
          <w:rFonts w:hint="eastAsia"/>
          <w:spacing w:val="9"/>
          <w:sz w:val="24"/>
          <w:szCs w:val="24"/>
          <w:highlight w:val="none"/>
          <w:lang w:eastAsia="zh-CN"/>
        </w:rPr>
        <w:t>搬迁物品清单</w:t>
      </w:r>
      <w:r>
        <w:rPr>
          <w:rFonts w:hint="eastAsia"/>
          <w:spacing w:val="9"/>
          <w:sz w:val="24"/>
          <w:szCs w:val="24"/>
          <w:highlight w:val="none"/>
          <w:lang w:val="en-US" w:eastAsia="zh-CN"/>
        </w:rPr>
        <w:t>及报价单。</w:t>
      </w:r>
    </w:p>
    <w:p>
      <w:pPr>
        <w:pStyle w:val="15"/>
        <w:spacing w:line="360" w:lineRule="auto"/>
        <w:rPr>
          <w:sz w:val="24"/>
          <w:szCs w:val="24"/>
          <w:highlight w:val="none"/>
          <w:lang w:eastAsia="zh-CN"/>
        </w:rPr>
      </w:pPr>
      <w:r>
        <w:rPr>
          <w:rFonts w:hint="eastAsia"/>
          <w:spacing w:val="9"/>
          <w:sz w:val="24"/>
          <w:szCs w:val="24"/>
          <w:highlight w:val="none"/>
          <w:lang w:eastAsia="zh-CN"/>
        </w:rPr>
        <w:t>14.10事故及损害赔偿.供应商在搬迁工程</w:t>
      </w:r>
      <w:r>
        <w:rPr>
          <w:rFonts w:hint="eastAsia"/>
          <w:spacing w:val="8"/>
          <w:sz w:val="24"/>
          <w:szCs w:val="24"/>
          <w:highlight w:val="none"/>
          <w:lang w:eastAsia="zh-CN"/>
        </w:rPr>
        <w:t>中，做好搬运现场的保护工作，对于搬迁过程中涉及到的实施现场（如电梯、地面、</w:t>
      </w:r>
      <w:r>
        <w:rPr>
          <w:rFonts w:hint="eastAsia"/>
          <w:spacing w:val="6"/>
          <w:sz w:val="24"/>
          <w:szCs w:val="24"/>
          <w:highlight w:val="none"/>
          <w:lang w:eastAsia="zh-CN"/>
        </w:rPr>
        <w:t>墙面、道路、楼梯、门窗、家具等）做到有效保护，如有损坏，由供应商负责赔偿。搬迁服务过程如出现的设备跌落、交通事故、物品丢失、重新安装失败、失火、水淹、触电及其它各种工作人员的身体损伤、死亡等事故，均由供应商承担全部责任，并赔偿采购单</w:t>
      </w:r>
      <w:r>
        <w:rPr>
          <w:rFonts w:hint="eastAsia"/>
          <w:spacing w:val="7"/>
          <w:sz w:val="24"/>
          <w:szCs w:val="24"/>
          <w:highlight w:val="none"/>
          <w:lang w:eastAsia="zh-CN"/>
        </w:rPr>
        <w:t>位全部损失。搬迁过程中，发生丢失的，</w:t>
      </w:r>
      <w:r>
        <w:rPr>
          <w:rFonts w:hint="eastAsia"/>
          <w:spacing w:val="-58"/>
          <w:sz w:val="24"/>
          <w:szCs w:val="24"/>
          <w:highlight w:val="none"/>
          <w:lang w:eastAsia="zh-CN"/>
        </w:rPr>
        <w:t xml:space="preserve"> </w:t>
      </w:r>
      <w:r>
        <w:rPr>
          <w:rFonts w:hint="eastAsia"/>
          <w:spacing w:val="7"/>
          <w:sz w:val="24"/>
          <w:szCs w:val="24"/>
          <w:highlight w:val="none"/>
          <w:lang w:eastAsia="zh-CN"/>
        </w:rPr>
        <w:t>由供应商负责等价赔偿；</w:t>
      </w:r>
      <w:r>
        <w:rPr>
          <w:rFonts w:hint="eastAsia"/>
          <w:spacing w:val="6"/>
          <w:sz w:val="24"/>
          <w:szCs w:val="24"/>
          <w:highlight w:val="none"/>
          <w:lang w:eastAsia="zh-CN"/>
        </w:rPr>
        <w:t>发生破损及设备故障的，经与采购单位协商后由供应商修复，无法</w:t>
      </w:r>
      <w:r>
        <w:rPr>
          <w:rFonts w:hint="eastAsia"/>
          <w:spacing w:val="5"/>
          <w:sz w:val="24"/>
          <w:szCs w:val="24"/>
          <w:highlight w:val="none"/>
          <w:lang w:eastAsia="zh-CN"/>
        </w:rPr>
        <w:t>修复的，</w:t>
      </w:r>
      <w:r>
        <w:rPr>
          <w:rFonts w:hint="eastAsia"/>
          <w:spacing w:val="-47"/>
          <w:sz w:val="24"/>
          <w:szCs w:val="24"/>
          <w:highlight w:val="none"/>
          <w:lang w:eastAsia="zh-CN"/>
        </w:rPr>
        <w:t xml:space="preserve"> </w:t>
      </w:r>
      <w:r>
        <w:rPr>
          <w:rFonts w:hint="eastAsia"/>
          <w:spacing w:val="5"/>
          <w:sz w:val="24"/>
          <w:szCs w:val="24"/>
          <w:highlight w:val="none"/>
          <w:lang w:eastAsia="zh-CN"/>
        </w:rPr>
        <w:t>由供应商负责等价赔偿。</w:t>
      </w:r>
    </w:p>
    <w:p>
      <w:pPr>
        <w:pStyle w:val="15"/>
        <w:spacing w:line="360" w:lineRule="auto"/>
        <w:rPr>
          <w:sz w:val="24"/>
          <w:szCs w:val="24"/>
          <w:highlight w:val="none"/>
          <w:lang w:eastAsia="zh-CN"/>
        </w:rPr>
      </w:pPr>
      <w:r>
        <w:rPr>
          <w:rFonts w:hint="eastAsia"/>
          <w:spacing w:val="5"/>
          <w:sz w:val="24"/>
          <w:szCs w:val="24"/>
          <w:highlight w:val="none"/>
          <w:lang w:eastAsia="zh-CN"/>
        </w:rPr>
        <w:t>14.11法律责任：一切在搬迁过程中出现的安全事故，由供应</w:t>
      </w:r>
      <w:r>
        <w:rPr>
          <w:rFonts w:hint="eastAsia"/>
          <w:spacing w:val="4"/>
          <w:sz w:val="24"/>
          <w:szCs w:val="24"/>
          <w:highlight w:val="none"/>
          <w:lang w:eastAsia="zh-CN"/>
        </w:rPr>
        <w:t>商负责。</w:t>
      </w:r>
    </w:p>
    <w:p>
      <w:pPr>
        <w:spacing w:line="360" w:lineRule="auto"/>
        <w:rPr>
          <w:rFonts w:ascii="宋体" w:hAnsi="宋体" w:eastAsia="宋体" w:cs="宋体"/>
          <w:spacing w:val="8"/>
          <w:sz w:val="24"/>
          <w:highlight w:val="none"/>
        </w:rPr>
      </w:pPr>
      <w:r>
        <w:rPr>
          <w:rFonts w:hint="eastAsia" w:ascii="宋体" w:hAnsi="宋体" w:eastAsia="宋体" w:cs="宋体"/>
          <w:spacing w:val="5"/>
          <w:sz w:val="24"/>
          <w:highlight w:val="none"/>
        </w:rPr>
        <w:t>14.12搬迁方案未提及或与搬迁方案不一致时，根据现场搬迁</w:t>
      </w:r>
      <w:r>
        <w:rPr>
          <w:rFonts w:hint="eastAsia" w:ascii="宋体" w:hAnsi="宋体" w:eastAsia="宋体" w:cs="宋体"/>
          <w:spacing w:val="8"/>
          <w:sz w:val="24"/>
          <w:highlight w:val="none"/>
        </w:rPr>
        <w:t>实际情况，以招标人要求为准。</w:t>
      </w:r>
    </w:p>
    <w:p>
      <w:pPr>
        <w:numPr>
          <w:ins w:id="0" w:author="赵晓雷" w:date="2026-04-06T16:49:00Z"/>
        </w:numPr>
        <w:spacing w:line="360" w:lineRule="auto"/>
        <w:rPr>
          <w:rFonts w:ascii="宋体" w:hAnsi="宋体" w:eastAsia="宋体" w:cs="宋体"/>
          <w:sz w:val="24"/>
          <w:highlight w:val="none"/>
        </w:rPr>
      </w:pPr>
      <w:r>
        <w:rPr>
          <w:rFonts w:hint="eastAsia" w:ascii="宋体" w:hAnsi="宋体" w:eastAsia="宋体" w:cs="宋体"/>
          <w:spacing w:val="5"/>
          <w:sz w:val="24"/>
          <w:highlight w:val="none"/>
        </w:rPr>
        <w:t>14.13</w:t>
      </w:r>
      <w:r>
        <w:rPr>
          <w:rFonts w:hint="eastAsia" w:ascii="宋体" w:hAnsi="宋体" w:eastAsia="宋体" w:cs="宋体"/>
          <w:spacing w:val="8"/>
          <w:sz w:val="24"/>
          <w:highlight w:val="none"/>
        </w:rPr>
        <w:t>搬运人员的意见、建议，必须通过乙方现场负责人反映，不得直接向甲方现场员工提出。在搬迁过程中，乙方须遵守作业操作规程、安全规章制度及相关法律法规。在服务过程中，如发生工伤事故、安全事故或财产损失的，或因乙方合同行为造成他人人身财产损害及权益受损的，由乙方自行承担责任；因乙方合同行为造成的各种行政处罚等一切责任和费用等，均由乙方自行承担。</w:t>
      </w:r>
    </w:p>
    <w:p>
      <w:pPr>
        <w:pStyle w:val="15"/>
        <w:spacing w:line="360" w:lineRule="auto"/>
        <w:rPr>
          <w:b/>
          <w:bCs/>
          <w:spacing w:val="8"/>
          <w:sz w:val="24"/>
          <w:szCs w:val="24"/>
          <w:highlight w:val="none"/>
          <w:lang w:eastAsia="zh-CN"/>
        </w:rPr>
      </w:pPr>
      <w:r>
        <w:rPr>
          <w:rFonts w:hint="eastAsia"/>
          <w:b/>
          <w:bCs/>
          <w:spacing w:val="8"/>
          <w:sz w:val="24"/>
          <w:szCs w:val="24"/>
          <w:highlight w:val="none"/>
          <w:lang w:eastAsia="zh-CN"/>
        </w:rPr>
        <w:t>★15.服务质量承诺要求</w:t>
      </w:r>
    </w:p>
    <w:p>
      <w:pPr>
        <w:pStyle w:val="15"/>
        <w:spacing w:line="360" w:lineRule="auto"/>
        <w:rPr>
          <w:spacing w:val="8"/>
          <w:sz w:val="24"/>
          <w:szCs w:val="24"/>
          <w:highlight w:val="none"/>
          <w:lang w:eastAsia="zh-CN"/>
        </w:rPr>
      </w:pPr>
      <w:r>
        <w:rPr>
          <w:rFonts w:hint="eastAsia"/>
          <w:spacing w:val="8"/>
          <w:sz w:val="24"/>
          <w:szCs w:val="24"/>
          <w:highlight w:val="none"/>
          <w:lang w:eastAsia="zh-CN"/>
        </w:rPr>
        <w:t>15.</w:t>
      </w:r>
      <w:r>
        <w:rPr>
          <w:spacing w:val="8"/>
          <w:sz w:val="24"/>
          <w:szCs w:val="24"/>
          <w:highlight w:val="none"/>
          <w:lang w:eastAsia="zh-CN"/>
        </w:rPr>
        <w:t>1.供应商必须在响应文件中提供详细的服务质量承诺书。</w:t>
      </w:r>
    </w:p>
    <w:p>
      <w:pPr>
        <w:pStyle w:val="15"/>
        <w:spacing w:line="360" w:lineRule="auto"/>
        <w:rPr>
          <w:spacing w:val="8"/>
          <w:sz w:val="24"/>
          <w:szCs w:val="24"/>
          <w:highlight w:val="none"/>
          <w:lang w:eastAsia="zh-CN"/>
        </w:rPr>
      </w:pPr>
      <w:r>
        <w:rPr>
          <w:rFonts w:hint="eastAsia"/>
          <w:spacing w:val="8"/>
          <w:sz w:val="24"/>
          <w:szCs w:val="24"/>
          <w:highlight w:val="none"/>
          <w:lang w:eastAsia="zh-CN"/>
        </w:rPr>
        <w:t>15.</w:t>
      </w:r>
      <w:r>
        <w:rPr>
          <w:spacing w:val="8"/>
          <w:sz w:val="24"/>
          <w:szCs w:val="24"/>
          <w:highlight w:val="none"/>
          <w:lang w:eastAsia="zh-CN"/>
        </w:rPr>
        <w:t>2.供应商在搬运、安装与调试服务期内应当为招标人提供以下技术支持和服务：</w:t>
      </w:r>
    </w:p>
    <w:p>
      <w:pPr>
        <w:pStyle w:val="15"/>
        <w:spacing w:line="360" w:lineRule="auto"/>
        <w:rPr>
          <w:spacing w:val="8"/>
          <w:sz w:val="24"/>
          <w:szCs w:val="24"/>
          <w:highlight w:val="none"/>
          <w:lang w:eastAsia="zh-CN"/>
        </w:rPr>
      </w:pPr>
      <w:r>
        <w:rPr>
          <w:rFonts w:hint="eastAsia"/>
          <w:spacing w:val="8"/>
          <w:sz w:val="24"/>
          <w:szCs w:val="24"/>
          <w:highlight w:val="none"/>
          <w:lang w:eastAsia="zh-CN"/>
        </w:rPr>
        <w:t>15.2.1</w:t>
      </w:r>
      <w:r>
        <w:rPr>
          <w:spacing w:val="8"/>
          <w:sz w:val="24"/>
          <w:szCs w:val="24"/>
          <w:highlight w:val="none"/>
          <w:lang w:eastAsia="zh-CN"/>
        </w:rPr>
        <w:t xml:space="preserve"> 电话咨询：供应商应当为招标人提供技术援助电话，解答招标人在使用中遇到的问题，及时为招标人提出解决问题的建议。</w:t>
      </w:r>
    </w:p>
    <w:p>
      <w:pPr>
        <w:pStyle w:val="15"/>
        <w:spacing w:line="360" w:lineRule="auto"/>
        <w:rPr>
          <w:spacing w:val="8"/>
          <w:sz w:val="24"/>
          <w:szCs w:val="24"/>
          <w:highlight w:val="none"/>
          <w:lang w:eastAsia="zh-CN"/>
        </w:rPr>
      </w:pPr>
      <w:r>
        <w:rPr>
          <w:rFonts w:hint="eastAsia"/>
          <w:spacing w:val="8"/>
          <w:sz w:val="24"/>
          <w:szCs w:val="24"/>
          <w:highlight w:val="none"/>
          <w:lang w:eastAsia="zh-CN"/>
        </w:rPr>
        <w:t>15.2.2</w:t>
      </w:r>
      <w:r>
        <w:rPr>
          <w:spacing w:val="8"/>
          <w:sz w:val="24"/>
          <w:szCs w:val="24"/>
          <w:highlight w:val="none"/>
          <w:lang w:eastAsia="zh-CN"/>
        </w:rPr>
        <w:t>现场响应：招标人及项目方遇到使用及技术问题， 电话咨询不能解决的，供应商应在 24 小时内到达现场进行处理，确保正常工作。</w:t>
      </w:r>
    </w:p>
    <w:p>
      <w:pPr>
        <w:pStyle w:val="15"/>
        <w:spacing w:line="360" w:lineRule="auto"/>
        <w:rPr>
          <w:spacing w:val="8"/>
          <w:sz w:val="24"/>
          <w:szCs w:val="24"/>
          <w:highlight w:val="none"/>
          <w:lang w:eastAsia="zh-CN"/>
        </w:rPr>
      </w:pPr>
      <w:r>
        <w:rPr>
          <w:rFonts w:hint="eastAsia"/>
          <w:spacing w:val="8"/>
          <w:sz w:val="24"/>
          <w:szCs w:val="24"/>
          <w:highlight w:val="none"/>
          <w:lang w:eastAsia="zh-CN"/>
        </w:rPr>
        <w:t>15.</w:t>
      </w:r>
      <w:r>
        <w:rPr>
          <w:spacing w:val="8"/>
          <w:sz w:val="24"/>
          <w:szCs w:val="24"/>
          <w:highlight w:val="none"/>
          <w:lang w:eastAsia="zh-CN"/>
        </w:rPr>
        <w:t>3.服务期外服务要求：供应商完成服务项目后，应提供免费电话咨询服务。</w:t>
      </w:r>
    </w:p>
    <w:p>
      <w:pPr>
        <w:spacing w:line="360" w:lineRule="auto"/>
        <w:rPr>
          <w:rFonts w:ascii="宋体" w:hAnsi="宋体" w:eastAsia="宋体" w:cs="宋体"/>
          <w:spacing w:val="8"/>
          <w:sz w:val="24"/>
          <w:highlight w:val="none"/>
        </w:rPr>
      </w:pPr>
      <w:r>
        <w:rPr>
          <w:rFonts w:hint="eastAsia" w:ascii="宋体" w:hAnsi="宋体" w:eastAsia="宋体" w:cs="宋体"/>
          <w:spacing w:val="8"/>
          <w:sz w:val="24"/>
          <w:highlight w:val="none"/>
        </w:rPr>
        <w:t>15.</w:t>
      </w:r>
      <w:r>
        <w:rPr>
          <w:rFonts w:ascii="宋体" w:hAnsi="宋体" w:eastAsia="宋体" w:cs="宋体"/>
          <w:spacing w:val="8"/>
          <w:sz w:val="24"/>
          <w:highlight w:val="none"/>
        </w:rPr>
        <w:t>4.如各分项有特殊要求的按各分项要求执行。</w:t>
      </w:r>
    </w:p>
    <w:p>
      <w:pPr>
        <w:spacing w:line="360" w:lineRule="auto"/>
        <w:rPr>
          <w:rFonts w:ascii="宋体" w:hAnsi="宋体" w:eastAsia="宋体" w:cs="宋体"/>
          <w:spacing w:val="8"/>
          <w:sz w:val="24"/>
          <w:highlight w:val="none"/>
        </w:rPr>
      </w:pPr>
      <w:r>
        <w:rPr>
          <w:rFonts w:hint="eastAsia" w:ascii="宋体" w:hAnsi="宋体" w:cs="宋体"/>
          <w:spacing w:val="8"/>
          <w:sz w:val="24"/>
          <w:highlight w:val="none"/>
        </w:rPr>
        <w:t>15.5.搬迁服务完成，</w:t>
      </w:r>
      <w:r>
        <w:rPr>
          <w:rFonts w:hint="eastAsia" w:ascii="宋体" w:hAnsi="宋体" w:cs="宋体"/>
          <w:spacing w:val="8"/>
          <w:sz w:val="24"/>
          <w:highlight w:val="none"/>
          <w:lang w:val="en-US" w:eastAsia="zh-CN"/>
        </w:rPr>
        <w:t>承诺</w:t>
      </w:r>
      <w:r>
        <w:rPr>
          <w:rFonts w:hint="eastAsia" w:ascii="宋体" w:hAnsi="宋体" w:cs="宋体"/>
          <w:spacing w:val="8"/>
          <w:sz w:val="24"/>
          <w:highlight w:val="none"/>
        </w:rPr>
        <w:t>所有仪器设备</w:t>
      </w:r>
      <w:r>
        <w:rPr>
          <w:rFonts w:hint="eastAsia" w:ascii="宋体" w:hAnsi="宋体" w:cs="宋体"/>
          <w:spacing w:val="8"/>
          <w:sz w:val="24"/>
          <w:highlight w:val="none"/>
          <w:lang w:val="en-US" w:eastAsia="zh-CN"/>
        </w:rPr>
        <w:t>经</w:t>
      </w:r>
      <w:r>
        <w:rPr>
          <w:rFonts w:hint="eastAsia" w:ascii="宋体" w:hAnsi="宋体" w:cs="宋体"/>
          <w:spacing w:val="8"/>
          <w:sz w:val="24"/>
          <w:highlight w:val="none"/>
        </w:rPr>
        <w:t>验收合格</w:t>
      </w:r>
      <w:r>
        <w:rPr>
          <w:rFonts w:hint="eastAsia" w:ascii="宋体" w:hAnsi="宋体" w:cs="宋体"/>
          <w:spacing w:val="8"/>
          <w:sz w:val="24"/>
          <w:highlight w:val="none"/>
          <w:lang w:val="en-US" w:eastAsia="zh-CN"/>
        </w:rPr>
        <w:t>后能正常运行30</w:t>
      </w:r>
      <w:r>
        <w:rPr>
          <w:rFonts w:hint="eastAsia" w:ascii="宋体" w:hAnsi="宋体" w:cs="宋体"/>
          <w:spacing w:val="8"/>
          <w:sz w:val="24"/>
          <w:highlight w:val="none"/>
        </w:rPr>
        <w:t>天。</w:t>
      </w:r>
    </w:p>
    <w:p>
      <w:pPr>
        <w:pStyle w:val="15"/>
        <w:spacing w:line="360" w:lineRule="auto"/>
        <w:rPr>
          <w:b/>
          <w:bCs/>
          <w:spacing w:val="5"/>
          <w:sz w:val="24"/>
          <w:szCs w:val="24"/>
          <w:highlight w:val="none"/>
          <w:lang w:eastAsia="zh-CN"/>
        </w:rPr>
      </w:pPr>
      <w:r>
        <w:rPr>
          <w:rFonts w:hint="eastAsia"/>
          <w:b/>
          <w:bCs/>
          <w:spacing w:val="5"/>
          <w:sz w:val="24"/>
          <w:szCs w:val="24"/>
          <w:highlight w:val="none"/>
          <w:lang w:eastAsia="zh-CN"/>
        </w:rPr>
        <w:t>★16.付款方式</w:t>
      </w:r>
    </w:p>
    <w:p>
      <w:pPr>
        <w:pStyle w:val="15"/>
        <w:spacing w:line="360" w:lineRule="auto"/>
        <w:rPr>
          <w:spacing w:val="8"/>
          <w:sz w:val="24"/>
          <w:szCs w:val="24"/>
          <w:highlight w:val="none"/>
          <w:lang w:eastAsia="zh-CN"/>
        </w:rPr>
      </w:pPr>
      <w:r>
        <w:rPr>
          <w:rFonts w:hint="eastAsia"/>
          <w:color w:val="FF0000"/>
          <w:spacing w:val="8"/>
          <w:sz w:val="24"/>
          <w:szCs w:val="24"/>
          <w:highlight w:val="none"/>
          <w:lang w:eastAsia="zh-CN"/>
        </w:rPr>
        <w:t>16.1</w:t>
      </w:r>
      <w:r>
        <w:rPr>
          <w:color w:val="FF0000"/>
          <w:spacing w:val="8"/>
          <w:sz w:val="24"/>
          <w:szCs w:val="24"/>
          <w:highlight w:val="none"/>
          <w:lang w:eastAsia="zh-CN"/>
        </w:rPr>
        <w:t>本项目</w:t>
      </w:r>
      <w:r>
        <w:rPr>
          <w:rFonts w:hint="eastAsia"/>
          <w:color w:val="FF0000"/>
          <w:spacing w:val="8"/>
          <w:sz w:val="24"/>
          <w:szCs w:val="24"/>
          <w:highlight w:val="none"/>
          <w:lang w:val="en-US" w:eastAsia="zh-CN"/>
        </w:rPr>
        <w:t>第一阶段</w:t>
      </w:r>
      <w:r>
        <w:rPr>
          <w:color w:val="FF0000"/>
          <w:spacing w:val="8"/>
          <w:sz w:val="24"/>
          <w:szCs w:val="24"/>
          <w:highlight w:val="none"/>
          <w:lang w:eastAsia="zh-CN"/>
        </w:rPr>
        <w:t>服务内容完成并通过验收后，</w:t>
      </w:r>
      <w:r>
        <w:rPr>
          <w:rFonts w:hint="eastAsia"/>
          <w:color w:val="FF0000"/>
          <w:spacing w:val="8"/>
          <w:sz w:val="24"/>
          <w:szCs w:val="24"/>
          <w:highlight w:val="none"/>
          <w:lang w:val="en-US" w:eastAsia="zh-CN"/>
        </w:rPr>
        <w:t>1</w:t>
      </w:r>
      <w:r>
        <w:rPr>
          <w:color w:val="FF0000"/>
          <w:spacing w:val="8"/>
          <w:sz w:val="24"/>
          <w:szCs w:val="24"/>
          <w:highlight w:val="none"/>
          <w:lang w:eastAsia="zh-CN"/>
        </w:rPr>
        <w:t>0个工作日内支付合同金额的</w:t>
      </w:r>
      <w:r>
        <w:rPr>
          <w:rFonts w:hint="eastAsia"/>
          <w:color w:val="FF0000"/>
          <w:spacing w:val="8"/>
          <w:sz w:val="24"/>
          <w:szCs w:val="24"/>
          <w:highlight w:val="none"/>
          <w:lang w:val="en-US" w:eastAsia="zh-CN"/>
        </w:rPr>
        <w:t>40</w:t>
      </w:r>
      <w:r>
        <w:rPr>
          <w:color w:val="FF0000"/>
          <w:spacing w:val="8"/>
          <w:sz w:val="24"/>
          <w:szCs w:val="24"/>
          <w:highlight w:val="none"/>
          <w:lang w:eastAsia="zh-CN"/>
        </w:rPr>
        <w:t>%；</w:t>
      </w:r>
      <w:r>
        <w:rPr>
          <w:rFonts w:hint="eastAsia"/>
          <w:color w:val="FF0000"/>
          <w:spacing w:val="8"/>
          <w:sz w:val="24"/>
          <w:szCs w:val="24"/>
          <w:highlight w:val="none"/>
          <w:lang w:val="en-US" w:eastAsia="zh-CN"/>
        </w:rPr>
        <w:t>第二阶段服务完成，</w:t>
      </w:r>
      <w:r>
        <w:rPr>
          <w:color w:val="FF0000"/>
          <w:spacing w:val="8"/>
          <w:sz w:val="24"/>
          <w:szCs w:val="24"/>
          <w:highlight w:val="none"/>
          <w:lang w:eastAsia="zh-CN"/>
        </w:rPr>
        <w:t>所有设备验收合格之日起</w:t>
      </w:r>
      <w:r>
        <w:rPr>
          <w:rFonts w:hint="eastAsia"/>
          <w:color w:val="FF0000"/>
          <w:spacing w:val="8"/>
          <w:sz w:val="24"/>
          <w:szCs w:val="24"/>
          <w:highlight w:val="none"/>
          <w:lang w:val="en-US" w:eastAsia="zh-CN"/>
        </w:rPr>
        <w:t>1</w:t>
      </w:r>
      <w:r>
        <w:rPr>
          <w:color w:val="FF0000"/>
          <w:spacing w:val="8"/>
          <w:sz w:val="24"/>
          <w:szCs w:val="24"/>
          <w:highlight w:val="none"/>
          <w:lang w:eastAsia="zh-CN"/>
        </w:rPr>
        <w:t>个月，设备无异常，</w:t>
      </w:r>
      <w:r>
        <w:rPr>
          <w:rFonts w:hint="eastAsia"/>
          <w:color w:val="FF0000"/>
          <w:spacing w:val="8"/>
          <w:sz w:val="24"/>
          <w:szCs w:val="24"/>
          <w:highlight w:val="none"/>
          <w:lang w:eastAsia="zh-CN"/>
        </w:rPr>
        <w:t>10</w:t>
      </w:r>
      <w:r>
        <w:rPr>
          <w:color w:val="FF0000"/>
          <w:spacing w:val="8"/>
          <w:sz w:val="24"/>
          <w:szCs w:val="24"/>
          <w:highlight w:val="none"/>
          <w:lang w:eastAsia="zh-CN"/>
        </w:rPr>
        <w:t>个工作日内支付合同金额的</w:t>
      </w:r>
      <w:r>
        <w:rPr>
          <w:rFonts w:hint="eastAsia"/>
          <w:color w:val="FF0000"/>
          <w:spacing w:val="8"/>
          <w:sz w:val="24"/>
          <w:szCs w:val="24"/>
          <w:highlight w:val="none"/>
          <w:lang w:val="en-US" w:eastAsia="zh-CN"/>
        </w:rPr>
        <w:t>50</w:t>
      </w:r>
      <w:r>
        <w:rPr>
          <w:color w:val="FF0000"/>
          <w:spacing w:val="8"/>
          <w:sz w:val="24"/>
          <w:szCs w:val="24"/>
          <w:highlight w:val="none"/>
          <w:lang w:eastAsia="zh-CN"/>
        </w:rPr>
        <w:t>%</w:t>
      </w:r>
      <w:r>
        <w:rPr>
          <w:rFonts w:hint="eastAsia"/>
          <w:color w:val="FF0000"/>
          <w:spacing w:val="8"/>
          <w:sz w:val="24"/>
          <w:szCs w:val="24"/>
          <w:highlight w:val="none"/>
          <w:lang w:eastAsia="zh-CN"/>
        </w:rPr>
        <w:t>；</w:t>
      </w:r>
      <w:r>
        <w:rPr>
          <w:color w:val="FF0000"/>
          <w:spacing w:val="8"/>
          <w:sz w:val="24"/>
          <w:szCs w:val="24"/>
          <w:highlight w:val="none"/>
          <w:lang w:eastAsia="zh-CN"/>
        </w:rPr>
        <w:t>本项目</w:t>
      </w:r>
      <w:r>
        <w:rPr>
          <w:rFonts w:hint="eastAsia"/>
          <w:color w:val="FF0000"/>
          <w:spacing w:val="8"/>
          <w:sz w:val="24"/>
          <w:szCs w:val="24"/>
          <w:highlight w:val="none"/>
          <w:lang w:val="en-US" w:eastAsia="zh-CN"/>
        </w:rPr>
        <w:t>所有</w:t>
      </w:r>
      <w:r>
        <w:rPr>
          <w:color w:val="FF0000"/>
          <w:spacing w:val="8"/>
          <w:sz w:val="24"/>
          <w:szCs w:val="24"/>
          <w:highlight w:val="none"/>
          <w:lang w:eastAsia="zh-CN"/>
        </w:rPr>
        <w:t>服务内容完成</w:t>
      </w:r>
      <w:r>
        <w:rPr>
          <w:rFonts w:hint="eastAsia"/>
          <w:color w:val="FF0000"/>
          <w:spacing w:val="8"/>
          <w:sz w:val="24"/>
          <w:szCs w:val="24"/>
          <w:highlight w:val="none"/>
          <w:lang w:val="en-US" w:eastAsia="zh-CN"/>
        </w:rPr>
        <w:t>3个月，</w:t>
      </w:r>
      <w:r>
        <w:rPr>
          <w:color w:val="FF0000"/>
          <w:spacing w:val="8"/>
          <w:sz w:val="24"/>
          <w:szCs w:val="24"/>
          <w:highlight w:val="none"/>
          <w:lang w:eastAsia="zh-CN"/>
        </w:rPr>
        <w:t>设备无异常</w:t>
      </w:r>
      <w:r>
        <w:rPr>
          <w:rFonts w:hint="eastAsia"/>
          <w:color w:val="FF0000"/>
          <w:spacing w:val="8"/>
          <w:sz w:val="24"/>
          <w:szCs w:val="24"/>
          <w:highlight w:val="none"/>
          <w:lang w:eastAsia="zh-CN"/>
        </w:rPr>
        <w:t>，10</w:t>
      </w:r>
      <w:r>
        <w:rPr>
          <w:color w:val="FF0000"/>
          <w:spacing w:val="8"/>
          <w:sz w:val="24"/>
          <w:szCs w:val="24"/>
          <w:highlight w:val="none"/>
          <w:lang w:eastAsia="zh-CN"/>
        </w:rPr>
        <w:t>个工作日内支付合同金额</w:t>
      </w:r>
      <w:r>
        <w:rPr>
          <w:rFonts w:hint="eastAsia"/>
          <w:color w:val="FF0000"/>
          <w:spacing w:val="8"/>
          <w:sz w:val="24"/>
          <w:szCs w:val="24"/>
          <w:highlight w:val="none"/>
          <w:lang w:val="en-US" w:eastAsia="zh-CN"/>
        </w:rPr>
        <w:t>1</w:t>
      </w:r>
      <w:r>
        <w:rPr>
          <w:color w:val="FF0000"/>
          <w:spacing w:val="8"/>
          <w:sz w:val="24"/>
          <w:szCs w:val="24"/>
          <w:highlight w:val="none"/>
          <w:lang w:eastAsia="zh-CN"/>
        </w:rPr>
        <w:t>0%尾款。</w:t>
      </w:r>
    </w:p>
    <w:p>
      <w:pPr>
        <w:pStyle w:val="15"/>
        <w:spacing w:line="360" w:lineRule="auto"/>
        <w:rPr>
          <w:b/>
          <w:bCs/>
          <w:spacing w:val="8"/>
          <w:sz w:val="24"/>
          <w:szCs w:val="24"/>
          <w:highlight w:val="none"/>
          <w:lang w:eastAsia="zh-CN"/>
        </w:rPr>
      </w:pPr>
      <w:r>
        <w:rPr>
          <w:rFonts w:hint="eastAsia"/>
          <w:b/>
          <w:bCs/>
          <w:spacing w:val="5"/>
          <w:sz w:val="24"/>
          <w:szCs w:val="24"/>
          <w:highlight w:val="none"/>
          <w:lang w:eastAsia="zh-CN"/>
        </w:rPr>
        <w:t>★17.</w:t>
      </w:r>
      <w:r>
        <w:rPr>
          <w:b/>
          <w:bCs/>
          <w:spacing w:val="8"/>
          <w:sz w:val="24"/>
          <w:szCs w:val="24"/>
          <w:highlight w:val="none"/>
          <w:lang w:eastAsia="zh-CN"/>
        </w:rPr>
        <w:t>验收标准</w:t>
      </w:r>
    </w:p>
    <w:p>
      <w:pPr>
        <w:pStyle w:val="15"/>
        <w:spacing w:line="360" w:lineRule="auto"/>
        <w:rPr>
          <w:spacing w:val="8"/>
          <w:sz w:val="24"/>
          <w:szCs w:val="24"/>
          <w:highlight w:val="none"/>
          <w:lang w:eastAsia="zh-CN"/>
        </w:rPr>
      </w:pPr>
      <w:r>
        <w:rPr>
          <w:rFonts w:hint="eastAsia"/>
          <w:spacing w:val="8"/>
          <w:sz w:val="24"/>
          <w:szCs w:val="24"/>
          <w:highlight w:val="none"/>
          <w:lang w:eastAsia="zh-CN"/>
        </w:rPr>
        <w:t>17.</w:t>
      </w:r>
      <w:r>
        <w:rPr>
          <w:spacing w:val="8"/>
          <w:sz w:val="24"/>
          <w:szCs w:val="24"/>
          <w:highlight w:val="none"/>
          <w:lang w:eastAsia="zh-CN"/>
        </w:rPr>
        <w:t>1.供应商需完成</w:t>
      </w:r>
      <w:r>
        <w:rPr>
          <w:rFonts w:hint="eastAsia"/>
          <w:spacing w:val="8"/>
          <w:sz w:val="24"/>
          <w:szCs w:val="24"/>
          <w:highlight w:val="none"/>
          <w:lang w:eastAsia="zh-CN"/>
        </w:rPr>
        <w:t>招标文件</w:t>
      </w:r>
      <w:r>
        <w:rPr>
          <w:spacing w:val="8"/>
          <w:sz w:val="24"/>
          <w:szCs w:val="24"/>
          <w:highlight w:val="none"/>
          <w:lang w:eastAsia="zh-CN"/>
        </w:rPr>
        <w:t>规定的整体搬迁服务内容，确保没有遗漏。搬迁完成后由供应商及</w:t>
      </w:r>
      <w:r>
        <w:rPr>
          <w:rFonts w:hint="eastAsia"/>
          <w:spacing w:val="8"/>
          <w:sz w:val="24"/>
          <w:szCs w:val="24"/>
          <w:highlight w:val="none"/>
          <w:lang w:val="en-US" w:eastAsia="zh-CN"/>
        </w:rPr>
        <w:t>招标人</w:t>
      </w:r>
      <w:r>
        <w:rPr>
          <w:spacing w:val="8"/>
          <w:sz w:val="24"/>
          <w:szCs w:val="24"/>
          <w:highlight w:val="none"/>
          <w:lang w:eastAsia="zh-CN"/>
        </w:rPr>
        <w:t>根据搬迁清单进行清点。</w:t>
      </w:r>
    </w:p>
    <w:p>
      <w:pPr>
        <w:pStyle w:val="15"/>
        <w:spacing w:line="360" w:lineRule="auto"/>
        <w:rPr>
          <w:spacing w:val="8"/>
          <w:sz w:val="24"/>
          <w:szCs w:val="24"/>
          <w:highlight w:val="none"/>
          <w:lang w:eastAsia="zh-CN"/>
        </w:rPr>
      </w:pPr>
      <w:r>
        <w:rPr>
          <w:rFonts w:hint="eastAsia"/>
          <w:spacing w:val="8"/>
          <w:sz w:val="24"/>
          <w:szCs w:val="24"/>
          <w:highlight w:val="none"/>
          <w:lang w:eastAsia="zh-CN"/>
        </w:rPr>
        <w:t>17.</w:t>
      </w:r>
      <w:r>
        <w:rPr>
          <w:spacing w:val="8"/>
          <w:sz w:val="24"/>
          <w:szCs w:val="24"/>
          <w:highlight w:val="none"/>
          <w:lang w:eastAsia="zh-CN"/>
        </w:rPr>
        <w:t>2.仅要求拆装、搬运的物件（包括试剂、耗材等），供应商需妥善处理，避免搬迁过程中造成损坏和遗失。若造成损坏或丢失的，由供应商按原厂维修价格或采购价格进行赔偿。</w:t>
      </w:r>
    </w:p>
    <w:p>
      <w:pPr>
        <w:pStyle w:val="15"/>
        <w:spacing w:line="360" w:lineRule="auto"/>
        <w:rPr>
          <w:spacing w:val="8"/>
          <w:sz w:val="24"/>
          <w:szCs w:val="24"/>
          <w:highlight w:val="none"/>
          <w:lang w:eastAsia="zh-CN"/>
        </w:rPr>
      </w:pPr>
      <w:r>
        <w:rPr>
          <w:rFonts w:hint="eastAsia"/>
          <w:spacing w:val="8"/>
          <w:sz w:val="24"/>
          <w:szCs w:val="24"/>
          <w:highlight w:val="none"/>
          <w:lang w:eastAsia="zh-CN"/>
        </w:rPr>
        <w:t>17.</w:t>
      </w:r>
      <w:r>
        <w:rPr>
          <w:spacing w:val="8"/>
          <w:sz w:val="24"/>
          <w:szCs w:val="24"/>
          <w:highlight w:val="none"/>
          <w:lang w:eastAsia="zh-CN"/>
        </w:rPr>
        <w:t>3.要求调试的实验仪器设备，必须完成调试，调试结果应不低于搬迁前状态。</w:t>
      </w:r>
    </w:p>
    <w:p>
      <w:pPr>
        <w:pStyle w:val="15"/>
        <w:spacing w:line="360" w:lineRule="auto"/>
        <w:rPr>
          <w:spacing w:val="8"/>
          <w:sz w:val="24"/>
          <w:szCs w:val="24"/>
          <w:highlight w:val="none"/>
          <w:lang w:eastAsia="zh-CN"/>
        </w:rPr>
      </w:pPr>
      <w:r>
        <w:rPr>
          <w:spacing w:val="8"/>
          <w:sz w:val="24"/>
          <w:szCs w:val="24"/>
          <w:highlight w:val="none"/>
          <w:lang w:eastAsia="zh-CN"/>
        </w:rPr>
        <w:t>仪器安装调试后，由招标人负责负责对所搬迁的</w:t>
      </w:r>
      <w:r>
        <w:rPr>
          <w:rFonts w:hint="eastAsia"/>
          <w:spacing w:val="8"/>
          <w:sz w:val="24"/>
          <w:szCs w:val="24"/>
          <w:highlight w:val="none"/>
          <w:lang w:eastAsia="zh-CN"/>
        </w:rPr>
        <w:t>仪器</w:t>
      </w:r>
      <w:r>
        <w:rPr>
          <w:spacing w:val="8"/>
          <w:sz w:val="24"/>
          <w:szCs w:val="24"/>
          <w:highlight w:val="none"/>
          <w:lang w:eastAsia="zh-CN"/>
        </w:rPr>
        <w:t>及附属设备进行验收，以相应的测试结果作为此次搬迁验收合格以及支付剩余合同金额的依据。其余没有检定/校准需求的设备由供应商会同招标人逐一进行安装验收并签字确认，全部仪器验收完成后签订整体验收合格报告。</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highlight w:val="none"/>
          <w:shd w:val="clear" w:color="auto" w:fill="FFFFFF"/>
        </w:rPr>
      </w:pPr>
      <w:r>
        <w:rPr>
          <w:rStyle w:val="11"/>
          <w:rFonts w:hint="eastAsia" w:ascii="Times New Roman" w:hAnsi="Times New Roman" w:eastAsia="仿宋_GB2312"/>
          <w:sz w:val="32"/>
          <w:szCs w:val="32"/>
          <w:highlight w:val="none"/>
          <w:shd w:val="clear" w:color="auto" w:fill="FFFFFF"/>
        </w:rPr>
        <w:t>三、资格审查</w:t>
      </w:r>
    </w:p>
    <w:p>
      <w:pPr>
        <w:spacing w:line="560" w:lineRule="exact"/>
        <w:ind w:firstLine="512" w:firstLineChars="200"/>
        <w:rPr>
          <w:rFonts w:ascii="宋体" w:hAnsi="宋体" w:eastAsia="宋体" w:cs="宋体"/>
          <w:spacing w:val="8"/>
          <w:sz w:val="24"/>
          <w:highlight w:val="none"/>
        </w:rPr>
      </w:pPr>
      <w:r>
        <w:rPr>
          <w:rFonts w:hint="eastAsia" w:ascii="宋体" w:hAnsi="宋体" w:eastAsia="宋体" w:cs="宋体"/>
          <w:spacing w:val="8"/>
          <w:sz w:val="24"/>
          <w:highlight w:val="none"/>
        </w:rPr>
        <w:t>投标文件须同时提供以下材料</w:t>
      </w:r>
      <w:r>
        <w:rPr>
          <w:rFonts w:hint="eastAsia" w:ascii="宋体" w:hAnsi="宋体" w:eastAsia="宋体" w:cs="宋体"/>
          <w:b/>
          <w:spacing w:val="8"/>
          <w:sz w:val="24"/>
          <w:highlight w:val="none"/>
        </w:rPr>
        <w:t>（具体说明见备注1）</w:t>
      </w:r>
      <w:r>
        <w:rPr>
          <w:rFonts w:hint="eastAsia" w:ascii="宋体" w:hAnsi="宋体" w:eastAsia="宋体" w:cs="宋体"/>
          <w:spacing w:val="8"/>
          <w:sz w:val="24"/>
          <w:highlight w:val="none"/>
        </w:rPr>
        <w:t>，缺任何一项即取消遴选资格：</w:t>
      </w:r>
    </w:p>
    <w:p>
      <w:pPr>
        <w:spacing w:line="560" w:lineRule="exact"/>
        <w:ind w:firstLine="512" w:firstLineChars="200"/>
        <w:rPr>
          <w:rFonts w:ascii="宋体" w:hAnsi="宋体" w:eastAsia="宋体" w:cs="宋体"/>
          <w:spacing w:val="8"/>
          <w:sz w:val="24"/>
          <w:highlight w:val="none"/>
        </w:rPr>
      </w:pPr>
      <w:r>
        <w:rPr>
          <w:rFonts w:hint="eastAsia" w:ascii="宋体" w:hAnsi="宋体" w:eastAsia="宋体" w:cs="宋体"/>
          <w:spacing w:val="8"/>
          <w:sz w:val="24"/>
          <w:highlight w:val="none"/>
        </w:rPr>
        <w:t>1、营业执照等证明文件复印件；</w:t>
      </w:r>
    </w:p>
    <w:p>
      <w:pPr>
        <w:spacing w:line="560" w:lineRule="exact"/>
        <w:ind w:firstLine="512" w:firstLineChars="200"/>
        <w:rPr>
          <w:rFonts w:ascii="宋体" w:hAnsi="宋体" w:eastAsia="宋体" w:cs="宋体"/>
          <w:spacing w:val="8"/>
          <w:sz w:val="24"/>
          <w:highlight w:val="none"/>
        </w:rPr>
      </w:pPr>
      <w:r>
        <w:rPr>
          <w:rFonts w:hint="eastAsia" w:ascii="宋体" w:hAnsi="宋体" w:eastAsia="宋体" w:cs="宋体"/>
          <w:spacing w:val="8"/>
          <w:sz w:val="24"/>
          <w:highlight w:val="none"/>
        </w:rPr>
        <w:t>2、单位授权书</w:t>
      </w:r>
      <w:r>
        <w:rPr>
          <w:rFonts w:hint="eastAsia" w:ascii="宋体" w:hAnsi="宋体" w:eastAsia="宋体" w:cs="宋体"/>
          <w:b/>
          <w:spacing w:val="8"/>
          <w:sz w:val="24"/>
          <w:highlight w:val="none"/>
        </w:rPr>
        <w:t>（见模板1）</w:t>
      </w:r>
      <w:r>
        <w:rPr>
          <w:rFonts w:hint="eastAsia" w:ascii="宋体" w:hAnsi="宋体" w:eastAsia="宋体" w:cs="宋体"/>
          <w:spacing w:val="8"/>
          <w:sz w:val="24"/>
          <w:highlight w:val="none"/>
        </w:rPr>
        <w:t>；</w:t>
      </w:r>
    </w:p>
    <w:p>
      <w:pPr>
        <w:spacing w:line="560" w:lineRule="exact"/>
        <w:ind w:firstLine="512" w:firstLineChars="200"/>
        <w:rPr>
          <w:rFonts w:ascii="宋体" w:hAnsi="宋体" w:eastAsia="宋体" w:cs="宋体"/>
          <w:spacing w:val="8"/>
          <w:sz w:val="24"/>
          <w:highlight w:val="none"/>
        </w:rPr>
      </w:pPr>
      <w:r>
        <w:rPr>
          <w:rFonts w:hint="eastAsia" w:ascii="宋体" w:hAnsi="宋体" w:eastAsia="宋体" w:cs="宋体"/>
          <w:spacing w:val="8"/>
          <w:sz w:val="24"/>
          <w:highlight w:val="none"/>
        </w:rPr>
        <w:t>3、财务状况报告(财务报告或资信证明)；</w:t>
      </w:r>
    </w:p>
    <w:p>
      <w:pPr>
        <w:spacing w:line="560" w:lineRule="exact"/>
        <w:ind w:firstLine="512" w:firstLineChars="200"/>
        <w:rPr>
          <w:rFonts w:ascii="宋体" w:hAnsi="宋体" w:eastAsia="宋体" w:cs="宋体"/>
          <w:spacing w:val="8"/>
          <w:sz w:val="24"/>
          <w:highlight w:val="none"/>
        </w:rPr>
      </w:pPr>
      <w:r>
        <w:rPr>
          <w:rFonts w:hint="eastAsia" w:ascii="宋体" w:hAnsi="宋体" w:eastAsia="宋体" w:cs="宋体"/>
          <w:spacing w:val="8"/>
          <w:sz w:val="24"/>
          <w:highlight w:val="none"/>
        </w:rPr>
        <w:t>4、信用记录查询结果。</w:t>
      </w:r>
    </w:p>
    <w:bookmarkEnd w:id="0"/>
    <w:p>
      <w:pPr>
        <w:pStyle w:val="7"/>
        <w:widowControl/>
        <w:spacing w:before="312" w:beforeLines="100" w:beforeAutospacing="0" w:after="312" w:afterLines="100" w:afterAutospacing="0" w:line="560" w:lineRule="exact"/>
        <w:jc w:val="both"/>
        <w:rPr>
          <w:rStyle w:val="11"/>
          <w:rFonts w:ascii="Times New Roman" w:hAnsi="Times New Roman" w:eastAsia="仿宋_GB2312"/>
          <w:sz w:val="32"/>
          <w:szCs w:val="32"/>
          <w:highlight w:val="none"/>
          <w:shd w:val="clear" w:color="auto" w:fill="FFFFFF"/>
        </w:rPr>
      </w:pPr>
      <w:r>
        <w:rPr>
          <w:rStyle w:val="11"/>
          <w:rFonts w:hint="eastAsia" w:ascii="Times New Roman" w:hAnsi="Times New Roman" w:eastAsia="仿宋_GB2312"/>
          <w:sz w:val="32"/>
          <w:szCs w:val="32"/>
          <w:highlight w:val="none"/>
          <w:shd w:val="clear" w:color="auto" w:fill="FFFFFF"/>
        </w:rPr>
        <w:t>四</w:t>
      </w:r>
      <w:r>
        <w:rPr>
          <w:rStyle w:val="11"/>
          <w:rFonts w:ascii="Times New Roman" w:hAnsi="Times New Roman" w:eastAsia="仿宋_GB2312"/>
          <w:sz w:val="32"/>
          <w:szCs w:val="32"/>
          <w:highlight w:val="none"/>
          <w:shd w:val="clear" w:color="auto" w:fill="FFFFFF"/>
        </w:rPr>
        <w:t>、评分办法</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660"/>
        <w:gridCol w:w="1508"/>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spacing w:after="312" w:afterLines="100" w:line="560" w:lineRule="exact"/>
              <w:jc w:val="center"/>
              <w:rPr>
                <w:rFonts w:ascii="Times New Roman" w:hAnsi="Times New Roman" w:eastAsia="仿宋_GB2312"/>
                <w:b/>
                <w:bCs/>
                <w:sz w:val="30"/>
                <w:szCs w:val="30"/>
                <w:highlight w:val="none"/>
              </w:rPr>
            </w:pPr>
            <w:r>
              <w:rPr>
                <w:rFonts w:hint="eastAsia" w:ascii="Times New Roman" w:hAnsi="Times New Roman" w:eastAsia="仿宋_GB2312"/>
                <w:b/>
                <w:bCs/>
                <w:sz w:val="30"/>
                <w:szCs w:val="30"/>
                <w:highlight w:val="none"/>
              </w:rPr>
              <w:t>商务项评分标准（</w:t>
            </w:r>
            <w:r>
              <w:rPr>
                <w:rFonts w:ascii="Times New Roman" w:hAnsi="Times New Roman" w:eastAsia="仿宋_GB2312"/>
                <w:b/>
                <w:bCs/>
                <w:sz w:val="30"/>
                <w:szCs w:val="30"/>
                <w:highlight w:val="none"/>
              </w:rPr>
              <w:t>F1</w:t>
            </w:r>
            <w:r>
              <w:rPr>
                <w:rFonts w:hint="eastAsia" w:ascii="Times New Roman" w:hAnsi="Times New Roman" w:eastAsia="仿宋_GB2312"/>
                <w:b/>
                <w:bCs/>
                <w:sz w:val="30"/>
                <w:szCs w:val="30"/>
                <w:highlight w:val="none"/>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0"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序号</w:t>
            </w:r>
          </w:p>
        </w:tc>
        <w:tc>
          <w:tcPr>
            <w:tcW w:w="1660"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评标项目</w:t>
            </w:r>
          </w:p>
        </w:tc>
        <w:tc>
          <w:tcPr>
            <w:tcW w:w="1508"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评标分值</w:t>
            </w:r>
          </w:p>
        </w:tc>
        <w:tc>
          <w:tcPr>
            <w:tcW w:w="4272"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080" w:type="dxa"/>
            <w:vMerge w:val="restart"/>
          </w:tcPr>
          <w:p>
            <w:pPr>
              <w:spacing w:line="560" w:lineRule="exact"/>
              <w:ind w:firstLine="512" w:firstLineChars="200"/>
              <w:jc w:val="left"/>
              <w:rPr>
                <w:rFonts w:ascii="宋体" w:hAnsi="宋体" w:eastAsia="宋体" w:cs="宋体"/>
                <w:spacing w:val="8"/>
                <w:kern w:val="0"/>
                <w:sz w:val="24"/>
                <w:highlight w:val="none"/>
                <w:lang w:eastAsia="en-US"/>
              </w:rPr>
            </w:pPr>
            <w:r>
              <w:rPr>
                <w:rFonts w:hint="eastAsia" w:ascii="宋体" w:hAnsi="宋体" w:eastAsia="宋体" w:cs="宋体"/>
                <w:spacing w:val="8"/>
                <w:kern w:val="0"/>
                <w:sz w:val="24"/>
                <w:highlight w:val="none"/>
                <w:lang w:eastAsia="en-US"/>
              </w:rPr>
              <w:t>1</w:t>
            </w:r>
          </w:p>
        </w:tc>
        <w:tc>
          <w:tcPr>
            <w:tcW w:w="1660" w:type="dxa"/>
            <w:vMerge w:val="restart"/>
          </w:tcPr>
          <w:p>
            <w:pPr>
              <w:spacing w:line="560" w:lineRule="exact"/>
              <w:jc w:val="left"/>
              <w:rPr>
                <w:rFonts w:ascii="宋体" w:hAnsi="宋体" w:eastAsia="宋体" w:cs="宋体"/>
                <w:spacing w:val="8"/>
                <w:kern w:val="0"/>
                <w:sz w:val="24"/>
                <w:highlight w:val="none"/>
                <w:lang w:eastAsia="en-US"/>
              </w:rPr>
            </w:pPr>
            <w:r>
              <w:rPr>
                <w:rFonts w:hint="eastAsia" w:ascii="宋体" w:hAnsi="宋体" w:eastAsia="宋体" w:cs="宋体"/>
                <w:spacing w:val="8"/>
                <w:kern w:val="0"/>
                <w:sz w:val="24"/>
                <w:highlight w:val="none"/>
              </w:rPr>
              <w:t>拟投入人员</w:t>
            </w:r>
          </w:p>
        </w:tc>
        <w:tc>
          <w:tcPr>
            <w:tcW w:w="1508" w:type="dxa"/>
            <w:vMerge w:val="restart"/>
          </w:tcPr>
          <w:p>
            <w:pPr>
              <w:spacing w:line="560" w:lineRule="exact"/>
              <w:ind w:firstLine="512" w:firstLineChars="200"/>
              <w:jc w:val="left"/>
              <w:rPr>
                <w:rFonts w:ascii="宋体" w:hAnsi="宋体" w:eastAsia="宋体" w:cs="宋体"/>
                <w:spacing w:val="8"/>
                <w:kern w:val="0"/>
                <w:sz w:val="24"/>
                <w:highlight w:val="none"/>
                <w:lang w:eastAsia="en-US"/>
              </w:rPr>
            </w:pPr>
            <w:r>
              <w:rPr>
                <w:rFonts w:hint="eastAsia" w:ascii="宋体" w:hAnsi="宋体" w:eastAsia="宋体" w:cs="宋体"/>
                <w:spacing w:val="8"/>
                <w:kern w:val="0"/>
                <w:sz w:val="24"/>
                <w:highlight w:val="none"/>
              </w:rPr>
              <w:t>1</w:t>
            </w:r>
            <w:r>
              <w:rPr>
                <w:rFonts w:hint="eastAsia" w:ascii="宋体" w:hAnsi="宋体" w:eastAsia="宋体" w:cs="宋体"/>
                <w:spacing w:val="8"/>
                <w:kern w:val="0"/>
                <w:sz w:val="24"/>
                <w:highlight w:val="none"/>
                <w:lang w:eastAsia="en-US"/>
              </w:rPr>
              <w:t>5</w:t>
            </w:r>
          </w:p>
        </w:tc>
        <w:tc>
          <w:tcPr>
            <w:tcW w:w="4272" w:type="dxa"/>
          </w:tcPr>
          <w:p>
            <w:pPr>
              <w:pStyle w:val="15"/>
              <w:autoSpaceDE w:val="0"/>
              <w:autoSpaceDN w:val="0"/>
              <w:spacing w:before="2" w:line="238" w:lineRule="auto"/>
              <w:ind w:left="112" w:right="105"/>
              <w:rPr>
                <w:spacing w:val="8"/>
                <w:kern w:val="0"/>
                <w:sz w:val="24"/>
                <w:szCs w:val="24"/>
                <w:highlight w:val="none"/>
                <w:lang w:eastAsia="zh-CN"/>
              </w:rPr>
            </w:pPr>
            <w:r>
              <w:rPr>
                <w:rFonts w:hint="eastAsia"/>
                <w:spacing w:val="8"/>
                <w:kern w:val="0"/>
                <w:sz w:val="24"/>
                <w:szCs w:val="24"/>
                <w:highlight w:val="none"/>
                <w:lang w:eastAsia="zh-CN"/>
              </w:rPr>
              <w:t>根据拟投入项目实施人员配置数量，有合理的人员岗位设置、工作安排，工作人员具备扎实专业性和安全培训水平，现场指挥人员具备专业的协调管理能力，能充分满足项目采购要求的得15分。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080"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1660" w:type="dxa"/>
            <w:vMerge w:val="continue"/>
          </w:tcPr>
          <w:p>
            <w:pPr>
              <w:spacing w:line="560" w:lineRule="exact"/>
              <w:jc w:val="left"/>
              <w:rPr>
                <w:rFonts w:ascii="宋体" w:hAnsi="宋体" w:eastAsia="宋体" w:cs="宋体"/>
                <w:spacing w:val="8"/>
                <w:kern w:val="0"/>
                <w:sz w:val="24"/>
                <w:highlight w:val="none"/>
              </w:rPr>
            </w:pPr>
          </w:p>
        </w:tc>
        <w:tc>
          <w:tcPr>
            <w:tcW w:w="1508"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4272" w:type="dxa"/>
          </w:tcPr>
          <w:p>
            <w:pPr>
              <w:pStyle w:val="15"/>
              <w:autoSpaceDE w:val="0"/>
              <w:autoSpaceDN w:val="0"/>
              <w:spacing w:before="2" w:line="251" w:lineRule="auto"/>
              <w:ind w:left="112" w:right="105" w:firstLine="2"/>
              <w:rPr>
                <w:spacing w:val="8"/>
                <w:kern w:val="0"/>
                <w:sz w:val="24"/>
                <w:szCs w:val="24"/>
                <w:highlight w:val="none"/>
                <w:lang w:eastAsia="zh-CN"/>
              </w:rPr>
            </w:pPr>
            <w:r>
              <w:rPr>
                <w:rFonts w:hint="eastAsia"/>
                <w:spacing w:val="8"/>
                <w:kern w:val="0"/>
                <w:sz w:val="24"/>
                <w:szCs w:val="24"/>
                <w:highlight w:val="none"/>
                <w:lang w:eastAsia="zh-CN"/>
              </w:rPr>
              <w:t>根据拟投入项目实施人员配置数量，有合理的人员岗位设置、工作安排，工作人员具备较好专业性和安全培训水平，现场指挥人员具备一定的管理能力，能较好满足项目采购要求的，得10分。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80"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1660" w:type="dxa"/>
            <w:vMerge w:val="continue"/>
          </w:tcPr>
          <w:p>
            <w:pPr>
              <w:spacing w:line="560" w:lineRule="exact"/>
              <w:jc w:val="left"/>
              <w:rPr>
                <w:rFonts w:ascii="宋体" w:hAnsi="宋体" w:eastAsia="宋体" w:cs="宋体"/>
                <w:spacing w:val="8"/>
                <w:kern w:val="0"/>
                <w:sz w:val="24"/>
                <w:highlight w:val="none"/>
              </w:rPr>
            </w:pPr>
          </w:p>
        </w:tc>
        <w:tc>
          <w:tcPr>
            <w:tcW w:w="1508"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4272" w:type="dxa"/>
          </w:tcPr>
          <w:p>
            <w:pPr>
              <w:pStyle w:val="15"/>
              <w:autoSpaceDE w:val="0"/>
              <w:autoSpaceDN w:val="0"/>
              <w:spacing w:before="36" w:line="250" w:lineRule="auto"/>
              <w:ind w:right="103"/>
              <w:rPr>
                <w:spacing w:val="8"/>
                <w:kern w:val="0"/>
                <w:sz w:val="24"/>
                <w:szCs w:val="24"/>
                <w:highlight w:val="none"/>
                <w:lang w:eastAsia="zh-CN"/>
              </w:rPr>
            </w:pPr>
            <w:r>
              <w:rPr>
                <w:rFonts w:hint="eastAsia"/>
                <w:spacing w:val="8"/>
                <w:kern w:val="0"/>
                <w:sz w:val="24"/>
                <w:szCs w:val="24"/>
                <w:highlight w:val="none"/>
                <w:lang w:eastAsia="zh-CN"/>
              </w:rPr>
              <w:t>根据拟投入项目实施人员配置数量，有合理的人员岗位设置，工作人员具备一定的专业性和安全培训水平，能满足项目采购要求的，得5分。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80"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1660" w:type="dxa"/>
            <w:vMerge w:val="continue"/>
          </w:tcPr>
          <w:p>
            <w:pPr>
              <w:spacing w:line="560" w:lineRule="exact"/>
              <w:jc w:val="left"/>
              <w:rPr>
                <w:rFonts w:ascii="宋体" w:hAnsi="宋体" w:eastAsia="宋体" w:cs="宋体"/>
                <w:spacing w:val="8"/>
                <w:kern w:val="0"/>
                <w:sz w:val="24"/>
                <w:highlight w:val="none"/>
              </w:rPr>
            </w:pPr>
          </w:p>
        </w:tc>
        <w:tc>
          <w:tcPr>
            <w:tcW w:w="1508" w:type="dxa"/>
            <w:vMerge w:val="continue"/>
          </w:tcPr>
          <w:p>
            <w:pPr>
              <w:spacing w:line="560" w:lineRule="exact"/>
              <w:ind w:firstLine="512" w:firstLineChars="200"/>
              <w:jc w:val="left"/>
              <w:rPr>
                <w:rFonts w:ascii="宋体" w:hAnsi="宋体" w:eastAsia="宋体" w:cs="宋体"/>
                <w:spacing w:val="8"/>
                <w:kern w:val="0"/>
                <w:sz w:val="24"/>
                <w:highlight w:val="none"/>
              </w:rPr>
            </w:pPr>
          </w:p>
        </w:tc>
        <w:tc>
          <w:tcPr>
            <w:tcW w:w="4272" w:type="dxa"/>
          </w:tcPr>
          <w:p>
            <w:pPr>
              <w:spacing w:line="560" w:lineRule="exact"/>
              <w:jc w:val="left"/>
              <w:rPr>
                <w:rFonts w:ascii="宋体" w:hAnsi="宋体" w:eastAsia="宋体" w:cs="宋体"/>
                <w:spacing w:val="8"/>
                <w:kern w:val="0"/>
                <w:sz w:val="24"/>
                <w:highlight w:val="none"/>
              </w:rPr>
            </w:pPr>
            <w:r>
              <w:rPr>
                <w:rFonts w:hint="eastAsia" w:ascii="宋体" w:hAnsi="宋体" w:eastAsia="宋体" w:cs="宋体"/>
                <w:spacing w:val="8"/>
                <w:kern w:val="0"/>
                <w:sz w:val="24"/>
                <w:highlight w:val="none"/>
              </w:rPr>
              <w:t>完全不满足招标文件要求不得分。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0" w:type="dxa"/>
          </w:tcPr>
          <w:p>
            <w:pPr>
              <w:spacing w:line="560" w:lineRule="exact"/>
              <w:ind w:firstLine="512" w:firstLineChars="200"/>
              <w:jc w:val="left"/>
              <w:rPr>
                <w:rFonts w:ascii="宋体" w:hAnsi="宋体" w:eastAsia="宋体" w:cs="宋体"/>
                <w:spacing w:val="8"/>
                <w:kern w:val="0"/>
                <w:sz w:val="24"/>
                <w:highlight w:val="none"/>
              </w:rPr>
            </w:pPr>
            <w:r>
              <w:rPr>
                <w:rFonts w:hint="eastAsia" w:ascii="宋体" w:hAnsi="宋体" w:eastAsia="宋体" w:cs="宋体"/>
                <w:spacing w:val="8"/>
                <w:kern w:val="0"/>
                <w:sz w:val="24"/>
                <w:highlight w:val="none"/>
              </w:rPr>
              <w:t>2</w:t>
            </w:r>
          </w:p>
        </w:tc>
        <w:tc>
          <w:tcPr>
            <w:tcW w:w="1660" w:type="dxa"/>
          </w:tcPr>
          <w:p>
            <w:pPr>
              <w:spacing w:line="560" w:lineRule="exact"/>
              <w:jc w:val="left"/>
              <w:rPr>
                <w:rFonts w:ascii="宋体" w:hAnsi="宋体" w:eastAsia="宋体" w:cs="宋体"/>
                <w:spacing w:val="8"/>
                <w:kern w:val="0"/>
                <w:sz w:val="24"/>
                <w:highlight w:val="none"/>
                <w:lang w:eastAsia="en-US"/>
              </w:rPr>
            </w:pPr>
            <w:r>
              <w:rPr>
                <w:rFonts w:hint="eastAsia" w:ascii="宋体" w:hAnsi="宋体" w:eastAsia="宋体" w:cs="宋体"/>
                <w:spacing w:val="8"/>
                <w:kern w:val="0"/>
                <w:sz w:val="24"/>
                <w:highlight w:val="none"/>
                <w:lang w:eastAsia="en-US"/>
              </w:rPr>
              <w:t>相关业绩</w:t>
            </w:r>
          </w:p>
        </w:tc>
        <w:tc>
          <w:tcPr>
            <w:tcW w:w="1508" w:type="dxa"/>
          </w:tcPr>
          <w:p>
            <w:pPr>
              <w:spacing w:line="560" w:lineRule="exact"/>
              <w:ind w:firstLine="512" w:firstLineChars="200"/>
              <w:jc w:val="left"/>
              <w:rPr>
                <w:rFonts w:ascii="宋体" w:hAnsi="宋体" w:eastAsia="宋体" w:cs="宋体"/>
                <w:spacing w:val="8"/>
                <w:kern w:val="0"/>
                <w:sz w:val="24"/>
                <w:highlight w:val="none"/>
              </w:rPr>
            </w:pPr>
            <w:r>
              <w:rPr>
                <w:rFonts w:hint="eastAsia" w:ascii="宋体" w:hAnsi="宋体" w:eastAsia="宋体" w:cs="宋体"/>
                <w:spacing w:val="8"/>
                <w:kern w:val="0"/>
                <w:sz w:val="24"/>
                <w:highlight w:val="none"/>
              </w:rPr>
              <w:t>5</w:t>
            </w:r>
          </w:p>
        </w:tc>
        <w:tc>
          <w:tcPr>
            <w:tcW w:w="4272" w:type="dxa"/>
          </w:tcPr>
          <w:p>
            <w:pPr>
              <w:spacing w:line="560" w:lineRule="exact"/>
              <w:jc w:val="left"/>
              <w:rPr>
                <w:rFonts w:ascii="宋体" w:hAnsi="宋体" w:eastAsia="宋体" w:cs="宋体"/>
                <w:spacing w:val="8"/>
                <w:kern w:val="0"/>
                <w:sz w:val="24"/>
                <w:highlight w:val="none"/>
              </w:rPr>
            </w:pPr>
            <w:r>
              <w:rPr>
                <w:rFonts w:hint="eastAsia" w:ascii="宋体" w:hAnsi="宋体" w:eastAsia="宋体" w:cs="宋体"/>
                <w:spacing w:val="8"/>
                <w:kern w:val="0"/>
                <w:sz w:val="24"/>
                <w:highlight w:val="none"/>
              </w:rPr>
              <w:t>提供完成的类似项目案例，提供一项得2.5分。需提供合同关键页等证明文件，不提供不得分。满分5分。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技术项评分标准（F2，满分</w:t>
            </w:r>
            <w:r>
              <w:rPr>
                <w:rFonts w:hint="eastAsia" w:ascii="Times New Roman" w:hAnsi="Times New Roman" w:eastAsia="仿宋_GB2312"/>
                <w:b/>
                <w:bCs/>
                <w:sz w:val="30"/>
                <w:szCs w:val="30"/>
                <w:highlight w:val="none"/>
                <w:lang w:val="en-US" w:eastAsia="zh-CN"/>
              </w:rPr>
              <w:t>6</w:t>
            </w:r>
            <w:r>
              <w:rPr>
                <w:rFonts w:ascii="Times New Roman" w:hAnsi="Times New Roman" w:eastAsia="仿宋_GB2312"/>
                <w:b/>
                <w:bCs/>
                <w:sz w:val="30"/>
                <w:szCs w:val="30"/>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0"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序号</w:t>
            </w:r>
          </w:p>
        </w:tc>
        <w:tc>
          <w:tcPr>
            <w:tcW w:w="1660"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评标项目</w:t>
            </w:r>
          </w:p>
        </w:tc>
        <w:tc>
          <w:tcPr>
            <w:tcW w:w="1508"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评标分值</w:t>
            </w:r>
          </w:p>
        </w:tc>
        <w:tc>
          <w:tcPr>
            <w:tcW w:w="4272" w:type="dxa"/>
          </w:tcPr>
          <w:p>
            <w:pPr>
              <w:pStyle w:val="7"/>
              <w:widowControl/>
              <w:spacing w:after="312" w:afterLines="100" w:line="560" w:lineRule="exact"/>
              <w:jc w:val="center"/>
              <w:rPr>
                <w:rFonts w:ascii="Times New Roman" w:hAnsi="Times New Roman" w:eastAsia="仿宋_GB2312"/>
                <w:b/>
                <w:bCs/>
                <w:sz w:val="30"/>
                <w:szCs w:val="30"/>
                <w:highlight w:val="none"/>
              </w:rPr>
            </w:pPr>
            <w:r>
              <w:rPr>
                <w:rFonts w:ascii="Times New Roman" w:hAnsi="Times New Roman" w:eastAsia="仿宋_GB2312"/>
                <w:b/>
                <w:bCs/>
                <w:sz w:val="30"/>
                <w:szCs w:val="30"/>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w:t>
            </w:r>
          </w:p>
        </w:tc>
        <w:tc>
          <w:tcPr>
            <w:tcW w:w="1660"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技术和服务要求响应情况</w:t>
            </w:r>
          </w:p>
        </w:tc>
        <w:tc>
          <w:tcPr>
            <w:tcW w:w="1508" w:type="dxa"/>
          </w:tcPr>
          <w:p>
            <w:pPr>
              <w:pStyle w:val="7"/>
              <w:widowControl/>
              <w:spacing w:beforeAutospacing="0" w:afterAutospacing="0" w:line="440" w:lineRule="exact"/>
              <w:jc w:val="both"/>
              <w:rPr>
                <w:rFonts w:hint="default" w:ascii="宋体" w:hAnsi="宋体" w:eastAsia="宋体" w:cs="宋体"/>
                <w:spacing w:val="8"/>
                <w:highlight w:val="none"/>
                <w:lang w:val="en-US" w:eastAsia="zh-CN"/>
              </w:rPr>
            </w:pPr>
            <w:r>
              <w:rPr>
                <w:rFonts w:hint="eastAsia" w:ascii="宋体" w:hAnsi="宋体" w:eastAsia="宋体" w:cs="宋体"/>
                <w:spacing w:val="8"/>
                <w:highlight w:val="none"/>
                <w:lang w:val="en-US" w:eastAsia="zh-CN"/>
              </w:rPr>
              <w:t>30</w:t>
            </w: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根据投标人所投遴选文件对二、技术和服务要求的响应、承诺情况，由评委进行评议并评分：①标注“★”符号的技术参数出现负偏离将导致投标无效；②未标注符号的技术参数每负偏离一项扣0.2分扣完为止。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2</w:t>
            </w:r>
          </w:p>
        </w:tc>
        <w:tc>
          <w:tcPr>
            <w:tcW w:w="166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整体搬迁方案</w:t>
            </w:r>
          </w:p>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10</w:t>
            </w: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 方案内容完整、详细、完善，可执行性强，得10分；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(2) 方案内容较完整、较详细、较完善，可执行性较强，得7分；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(3) 一般：方案内容一般完整、一般详细，可执行性一般，得4分；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3</w:t>
            </w:r>
          </w:p>
        </w:tc>
        <w:tc>
          <w:tcPr>
            <w:tcW w:w="166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设备保护方案</w:t>
            </w:r>
          </w:p>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10</w:t>
            </w: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 方案内容完整、详细、完善，可执行性强，得10分；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(2) 方案内容较完整、较详细、较完善，可执行性较强，得7分；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(3) 一般：方案内容一般完整、一般详细，可执行性一般，得4分；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4</w:t>
            </w:r>
          </w:p>
        </w:tc>
        <w:tc>
          <w:tcPr>
            <w:tcW w:w="1660"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应急服务方案</w:t>
            </w:r>
          </w:p>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restart"/>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10</w:t>
            </w: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(1) 方案内容完整、详细、完善，可执行性强，得10分；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(2) 方案内容较完整、较详细、较完善，可执行性较强，得7分；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(3) 一般：方案内容一般完整、一般详细，可执行性一般，得4分；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660"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1508" w:type="dxa"/>
            <w:vMerge w:val="continue"/>
          </w:tcPr>
          <w:p>
            <w:pPr>
              <w:pStyle w:val="7"/>
              <w:widowControl/>
              <w:spacing w:beforeAutospacing="0" w:afterAutospacing="0" w:line="440" w:lineRule="exact"/>
              <w:jc w:val="both"/>
              <w:rPr>
                <w:rFonts w:ascii="宋体" w:hAnsi="宋体" w:eastAsia="宋体" w:cs="宋体"/>
                <w:spacing w:val="8"/>
                <w:highlight w:val="none"/>
              </w:rPr>
            </w:pPr>
          </w:p>
        </w:tc>
        <w:tc>
          <w:tcPr>
            <w:tcW w:w="4272" w:type="dxa"/>
          </w:tcPr>
          <w:p>
            <w:pPr>
              <w:pStyle w:val="7"/>
              <w:widowControl/>
              <w:spacing w:beforeAutospacing="0" w:afterAutospacing="0" w:line="440" w:lineRule="exact"/>
              <w:jc w:val="both"/>
              <w:rPr>
                <w:rFonts w:ascii="宋体" w:hAnsi="宋体" w:eastAsia="宋体" w:cs="宋体"/>
                <w:spacing w:val="8"/>
                <w:highlight w:val="none"/>
              </w:rPr>
            </w:pPr>
            <w:r>
              <w:rPr>
                <w:rFonts w:hint="eastAsia" w:ascii="宋体" w:hAnsi="宋体" w:eastAsia="宋体" w:cs="宋体"/>
                <w:spacing w:val="8"/>
                <w:highlight w:val="none"/>
              </w:rPr>
              <w:t>(4) 方案内容不完整、不详细、不完善，不得分。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20" w:type="dxa"/>
            <w:gridSpan w:val="4"/>
          </w:tcPr>
          <w:p>
            <w:pPr>
              <w:pStyle w:val="7"/>
              <w:widowControl/>
              <w:spacing w:after="312" w:afterLines="100" w:line="560" w:lineRule="exact"/>
              <w:jc w:val="center"/>
              <w:rPr>
                <w:rFonts w:ascii="Times New Roman" w:hAnsi="Times New Roman" w:eastAsia="仿宋_GB2312"/>
                <w:b/>
                <w:bCs/>
                <w:sz w:val="30"/>
                <w:szCs w:val="30"/>
                <w:highlight w:val="none"/>
              </w:rPr>
            </w:pPr>
            <w:r>
              <w:rPr>
                <w:rFonts w:hint="eastAsia" w:ascii="Times New Roman" w:hAnsi="Times New Roman" w:eastAsia="仿宋_GB2312"/>
                <w:b/>
                <w:bCs/>
                <w:sz w:val="30"/>
                <w:szCs w:val="30"/>
                <w:highlight w:val="none"/>
              </w:rPr>
              <w:t>价格项评分标准（</w:t>
            </w:r>
            <w:r>
              <w:rPr>
                <w:rFonts w:ascii="Times New Roman" w:hAnsi="Times New Roman" w:eastAsia="仿宋_GB2312"/>
                <w:b/>
                <w:bCs/>
                <w:sz w:val="30"/>
                <w:szCs w:val="30"/>
                <w:highlight w:val="none"/>
              </w:rPr>
              <w:t>F3</w:t>
            </w:r>
            <w:r>
              <w:rPr>
                <w:rFonts w:hint="eastAsia" w:ascii="Times New Roman" w:hAnsi="Times New Roman" w:eastAsia="仿宋_GB2312"/>
                <w:b/>
                <w:bCs/>
                <w:sz w:val="30"/>
                <w:szCs w:val="30"/>
                <w:highlight w:val="none"/>
              </w:rPr>
              <w:t>，满分</w:t>
            </w:r>
            <w:r>
              <w:rPr>
                <w:rFonts w:hint="eastAsia" w:ascii="Times New Roman" w:hAnsi="Times New Roman" w:eastAsia="仿宋_GB2312"/>
                <w:b/>
                <w:bCs/>
                <w:sz w:val="30"/>
                <w:szCs w:val="30"/>
                <w:highlight w:val="none"/>
                <w:lang w:val="en-US" w:eastAsia="zh-CN"/>
              </w:rPr>
              <w:t>2</w:t>
            </w:r>
            <w:r>
              <w:rPr>
                <w:rFonts w:hint="eastAsia" w:ascii="Times New Roman" w:hAnsi="Times New Roman" w:eastAsia="仿宋_GB2312"/>
                <w:b/>
                <w:bCs/>
                <w:sz w:val="30"/>
                <w:szCs w:val="30"/>
                <w:highlight w:val="none"/>
              </w:rPr>
              <w:t>0分）</w:t>
            </w:r>
            <w:r>
              <w:rPr>
                <w:rFonts w:hint="eastAsia" w:ascii="Times New Roman" w:hAnsi="Times New Roman" w:eastAsia="仿宋_GB2312"/>
                <w:b/>
                <w:bCs/>
                <w:sz w:val="28"/>
                <w:szCs w:val="28"/>
                <w:highlight w:val="none"/>
                <w:shd w:val="clear" w:color="auto" w:fill="FFFFFF"/>
                <w:lang w:eastAsia="zh-CN"/>
              </w:rPr>
              <w:t>（</w:t>
            </w:r>
            <w:r>
              <w:rPr>
                <w:rFonts w:hint="eastAsia" w:ascii="Times New Roman" w:hAnsi="Times New Roman" w:eastAsia="仿宋_GB2312"/>
                <w:b/>
                <w:bCs/>
                <w:sz w:val="28"/>
                <w:szCs w:val="28"/>
                <w:highlight w:val="none"/>
                <w:shd w:val="clear" w:color="auto" w:fill="FFFFFF"/>
                <w:lang w:val="en-US" w:eastAsia="zh-CN"/>
              </w:rPr>
              <w:t>投标人应对清单1和清单2所列物品分别报价，以合计总价评分，</w:t>
            </w:r>
            <w:r>
              <w:rPr>
                <w:rFonts w:hint="eastAsia" w:ascii="Times New Roman" w:hAnsi="Times New Roman" w:eastAsia="仿宋_GB2312"/>
                <w:b/>
                <w:bCs/>
                <w:sz w:val="30"/>
                <w:szCs w:val="30"/>
                <w:highlight w:val="none"/>
              </w:rPr>
              <w:t>搬迁物品清单见附件2</w:t>
            </w:r>
            <w:r>
              <w:rPr>
                <w:rFonts w:hint="eastAsia" w:ascii="Times New Roman" w:hAnsi="Times New Roman" w:eastAsia="仿宋_GB2312"/>
                <w:b/>
                <w:bCs/>
                <w:sz w:val="30"/>
                <w:szCs w:val="30"/>
                <w:highlight w:val="none"/>
                <w:lang w:eastAsia="zh-CN"/>
              </w:rPr>
              <w:t>，</w:t>
            </w:r>
            <w:r>
              <w:rPr>
                <w:rFonts w:hint="eastAsia" w:ascii="Times New Roman" w:hAnsi="Times New Roman" w:eastAsia="仿宋_GB2312"/>
                <w:b/>
                <w:bCs/>
                <w:sz w:val="30"/>
                <w:szCs w:val="30"/>
                <w:highlight w:val="none"/>
                <w:lang w:val="en-US" w:eastAsia="zh-CN"/>
              </w:rPr>
              <w:t>评分标准</w:t>
            </w:r>
            <w:r>
              <w:rPr>
                <w:rFonts w:hint="eastAsia" w:ascii="Times New Roman" w:hAnsi="Times New Roman" w:eastAsia="仿宋_GB2312"/>
                <w:b/>
                <w:bCs/>
                <w:sz w:val="30"/>
                <w:szCs w:val="30"/>
                <w:highlight w:val="none"/>
              </w:rPr>
              <w:t>见备注2）</w:t>
            </w:r>
          </w:p>
        </w:tc>
      </w:tr>
    </w:tbl>
    <w:p>
      <w:pPr>
        <w:pStyle w:val="7"/>
        <w:widowControl/>
        <w:spacing w:beforeAutospacing="0" w:after="312" w:afterLines="100" w:afterAutospacing="0" w:line="560" w:lineRule="exact"/>
        <w:jc w:val="center"/>
        <w:rPr>
          <w:rFonts w:ascii="Times New Roman" w:hAnsi="Times New Roman" w:eastAsia="仿宋_GB2312"/>
          <w:b/>
          <w:bCs/>
          <w:sz w:val="32"/>
          <w:szCs w:val="32"/>
          <w:highlight w:val="none"/>
          <w:shd w:val="clear" w:color="auto" w:fill="FFFFFF"/>
        </w:rPr>
      </w:pPr>
    </w:p>
    <w:p>
      <w:pPr>
        <w:widowControl/>
        <w:jc w:val="left"/>
        <w:rPr>
          <w:rFonts w:hint="eastAsia" w:ascii="Times New Roman" w:hAnsi="Times New Roman" w:eastAsia="仿宋_GB2312"/>
          <w:b/>
          <w:bCs/>
          <w:sz w:val="32"/>
          <w:szCs w:val="32"/>
          <w:highlight w:val="none"/>
          <w:shd w:val="clear" w:color="auto" w:fill="FFFFFF"/>
        </w:rPr>
      </w:pPr>
      <w:r>
        <w:rPr>
          <w:rFonts w:ascii="Times New Roman" w:hAnsi="Times New Roman" w:eastAsia="仿宋_GB2312"/>
          <w:b/>
          <w:bCs/>
          <w:sz w:val="32"/>
          <w:szCs w:val="32"/>
          <w:highlight w:val="none"/>
          <w:shd w:val="clear" w:color="auto" w:fill="FFFFFF"/>
        </w:rPr>
        <w:br w:type="page"/>
      </w:r>
    </w:p>
    <w:p>
      <w:pPr>
        <w:widowControl/>
        <w:jc w:val="center"/>
        <w:rPr>
          <w:rFonts w:hint="eastAsia" w:ascii="方正小标宋简体" w:hAnsi="Times New Roman" w:eastAsia="方正小标宋简体"/>
          <w:bCs/>
          <w:sz w:val="44"/>
          <w:szCs w:val="44"/>
          <w:highlight w:val="none"/>
          <w:shd w:val="clear" w:color="auto" w:fill="FFFFFF"/>
        </w:rPr>
      </w:pPr>
      <w:r>
        <w:rPr>
          <w:rFonts w:hint="eastAsia" w:ascii="方正小标宋简体" w:hAnsi="Times New Roman" w:eastAsia="方正小标宋简体"/>
          <w:bCs/>
          <w:sz w:val="44"/>
          <w:szCs w:val="44"/>
          <w:highlight w:val="none"/>
          <w:shd w:val="clear" w:color="auto" w:fill="FFFFFF"/>
        </w:rPr>
        <w:t>报价单</w:t>
      </w:r>
    </w:p>
    <w:p>
      <w:pPr>
        <w:widowControl/>
        <w:jc w:val="left"/>
        <w:rPr>
          <w:rFonts w:hint="eastAsia" w:ascii="Times New Roman" w:hAnsi="Times New Roman" w:eastAsia="仿宋_GB2312"/>
          <w:b/>
          <w:bCs/>
          <w:sz w:val="32"/>
          <w:szCs w:val="32"/>
          <w:highlight w:val="none"/>
          <w:shd w:val="clear" w:color="auto" w:fill="FFFFFF"/>
        </w:rPr>
      </w:pP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项目名称：______________________________</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项目编号：______________________________</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投标人名称：______________________________</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报价日期：______________________________</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清单1</w:t>
      </w:r>
      <w:r>
        <w:rPr>
          <w:rFonts w:hint="eastAsia" w:ascii="Times New Roman" w:hAnsi="Times New Roman" w:eastAsia="仿宋_GB2312"/>
          <w:b/>
          <w:bCs/>
          <w:sz w:val="28"/>
          <w:szCs w:val="28"/>
          <w:highlight w:val="none"/>
          <w:shd w:val="clear" w:color="auto" w:fill="FFFFFF"/>
          <w:lang w:val="en-US" w:eastAsia="zh-CN"/>
        </w:rPr>
        <w:t>报价</w:t>
      </w:r>
      <w:r>
        <w:rPr>
          <w:rFonts w:hint="eastAsia" w:ascii="Times New Roman" w:hAnsi="Times New Roman" w:eastAsia="仿宋_GB2312"/>
          <w:b/>
          <w:bCs/>
          <w:sz w:val="28"/>
          <w:szCs w:val="28"/>
          <w:highlight w:val="none"/>
          <w:shd w:val="clear" w:color="auto" w:fill="FFFFFF"/>
        </w:rPr>
        <w:t>（</w:t>
      </w:r>
      <w:r>
        <w:rPr>
          <w:rFonts w:hint="eastAsia" w:ascii="Times New Roman" w:hAnsi="Times New Roman" w:eastAsia="仿宋_GB2312"/>
          <w:b/>
          <w:bCs/>
          <w:sz w:val="28"/>
          <w:szCs w:val="28"/>
          <w:highlight w:val="none"/>
          <w:shd w:val="clear" w:color="auto" w:fill="FFFFFF"/>
          <w:lang w:val="en-US" w:eastAsia="zh-CN"/>
        </w:rPr>
        <w:t>最高限价15.5万元</w:t>
      </w:r>
      <w:r>
        <w:rPr>
          <w:rFonts w:hint="eastAsia" w:ascii="Times New Roman" w:hAnsi="Times New Roman" w:eastAsia="仿宋_GB2312"/>
          <w:b/>
          <w:bCs/>
          <w:sz w:val="28"/>
          <w:szCs w:val="28"/>
          <w:highlight w:val="none"/>
          <w:shd w:val="clear" w:color="auto" w:fill="FFFFFF"/>
        </w:rPr>
        <w:t>）：</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小写：________________________ 元</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大写：________________________ 元</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清单2</w:t>
      </w:r>
      <w:r>
        <w:rPr>
          <w:rFonts w:hint="eastAsia" w:ascii="Times New Roman" w:hAnsi="Times New Roman" w:eastAsia="仿宋_GB2312"/>
          <w:b/>
          <w:bCs/>
          <w:sz w:val="28"/>
          <w:szCs w:val="28"/>
          <w:highlight w:val="none"/>
          <w:shd w:val="clear" w:color="auto" w:fill="FFFFFF"/>
          <w:lang w:val="en-US" w:eastAsia="zh-CN"/>
        </w:rPr>
        <w:t>报价</w:t>
      </w:r>
      <w:r>
        <w:rPr>
          <w:rFonts w:hint="eastAsia" w:ascii="Times New Roman" w:hAnsi="Times New Roman" w:eastAsia="仿宋_GB2312"/>
          <w:b/>
          <w:bCs/>
          <w:sz w:val="28"/>
          <w:szCs w:val="28"/>
          <w:highlight w:val="none"/>
          <w:shd w:val="clear" w:color="auto" w:fill="FFFFFF"/>
        </w:rPr>
        <w:t>（</w:t>
      </w:r>
      <w:r>
        <w:rPr>
          <w:rFonts w:hint="eastAsia" w:ascii="Times New Roman" w:hAnsi="Times New Roman" w:eastAsia="仿宋_GB2312"/>
          <w:b/>
          <w:bCs/>
          <w:sz w:val="28"/>
          <w:szCs w:val="28"/>
          <w:highlight w:val="none"/>
          <w:shd w:val="clear" w:color="auto" w:fill="FFFFFF"/>
          <w:lang w:val="en-US" w:eastAsia="zh-CN"/>
        </w:rPr>
        <w:t>最高限价2.5万元</w:t>
      </w:r>
      <w:r>
        <w:rPr>
          <w:rFonts w:hint="eastAsia" w:ascii="Times New Roman" w:hAnsi="Times New Roman" w:eastAsia="仿宋_GB2312"/>
          <w:b/>
          <w:bCs/>
          <w:sz w:val="28"/>
          <w:szCs w:val="28"/>
          <w:highlight w:val="none"/>
          <w:shd w:val="clear" w:color="auto" w:fill="FFFFFF"/>
        </w:rPr>
        <w:t>）：</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小写：________________________ 元</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大写：________________________ 元</w:t>
      </w:r>
    </w:p>
    <w:p>
      <w:pPr>
        <w:widowControl/>
        <w:spacing w:line="500" w:lineRule="exact"/>
        <w:jc w:val="left"/>
        <w:rPr>
          <w:rFonts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合计</w:t>
      </w:r>
      <w:r>
        <w:rPr>
          <w:rFonts w:hint="eastAsia" w:ascii="Times New Roman" w:hAnsi="Times New Roman" w:eastAsia="仿宋_GB2312"/>
          <w:b/>
          <w:bCs/>
          <w:sz w:val="28"/>
          <w:szCs w:val="28"/>
          <w:highlight w:val="none"/>
          <w:shd w:val="clear" w:color="auto" w:fill="FFFFFF"/>
          <w:lang w:val="en-US" w:eastAsia="zh-CN"/>
        </w:rPr>
        <w:t>总价</w:t>
      </w:r>
      <w:r>
        <w:rPr>
          <w:rFonts w:hint="eastAsia" w:ascii="Times New Roman" w:hAnsi="Times New Roman" w:eastAsia="仿宋_GB2312"/>
          <w:b/>
          <w:bCs/>
          <w:sz w:val="28"/>
          <w:szCs w:val="28"/>
          <w:highlight w:val="none"/>
          <w:shd w:val="clear" w:color="auto" w:fill="FFFFFF"/>
        </w:rPr>
        <w:t>：</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小写：________________________ 元</w:t>
      </w:r>
    </w:p>
    <w:p>
      <w:pPr>
        <w:widowControl/>
        <w:spacing w:line="50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大写：________________________ 元</w:t>
      </w:r>
    </w:p>
    <w:p>
      <w:pPr>
        <w:widowControl/>
        <w:spacing w:line="360" w:lineRule="exact"/>
        <w:jc w:val="left"/>
        <w:rPr>
          <w:rFonts w:hint="eastAsia" w:ascii="Times New Roman" w:hAnsi="Times New Roman" w:eastAsia="仿宋_GB2312"/>
          <w:b/>
          <w:bCs/>
          <w:sz w:val="28"/>
          <w:szCs w:val="28"/>
          <w:highlight w:val="none"/>
          <w:shd w:val="clear" w:color="auto" w:fill="FFFFFF"/>
        </w:rPr>
      </w:pPr>
    </w:p>
    <w:p>
      <w:pPr>
        <w:widowControl/>
        <w:spacing w:line="36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费用说明：</w:t>
      </w:r>
    </w:p>
    <w:p>
      <w:pPr>
        <w:widowControl/>
        <w:spacing w:line="36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以上费用包括但不限于设备租赁费、人工费、运输费、管理费、税费等所有相关费用。</w:t>
      </w:r>
    </w:p>
    <w:p>
      <w:pPr>
        <w:widowControl/>
        <w:spacing w:line="360" w:lineRule="exact"/>
        <w:jc w:val="left"/>
        <w:rPr>
          <w:rFonts w:ascii="Times New Roman" w:hAnsi="Times New Roman" w:eastAsia="仿宋_GB2312"/>
          <w:b/>
          <w:bCs/>
          <w:sz w:val="28"/>
          <w:szCs w:val="28"/>
          <w:highlight w:val="none"/>
          <w:shd w:val="clear" w:color="auto" w:fill="FFFFFF"/>
        </w:rPr>
      </w:pPr>
    </w:p>
    <w:p>
      <w:pPr>
        <w:widowControl/>
        <w:spacing w:line="36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投标人（盖章）： ______________________________</w:t>
      </w:r>
    </w:p>
    <w:p>
      <w:pPr>
        <w:widowControl/>
        <w:spacing w:line="360" w:lineRule="exact"/>
        <w:jc w:val="left"/>
        <w:rPr>
          <w:rFonts w:ascii="Times New Roman" w:hAnsi="Times New Roman" w:eastAsia="仿宋_GB2312"/>
          <w:b/>
          <w:bCs/>
          <w:sz w:val="28"/>
          <w:szCs w:val="28"/>
          <w:highlight w:val="none"/>
          <w:shd w:val="clear" w:color="auto" w:fill="FFFFFF"/>
        </w:rPr>
      </w:pPr>
    </w:p>
    <w:p>
      <w:pPr>
        <w:widowControl/>
        <w:spacing w:line="360" w:lineRule="exact"/>
        <w:jc w:val="left"/>
        <w:rPr>
          <w:rFonts w:hint="eastAsia" w:ascii="Times New Roman" w:hAnsi="Times New Roman" w:eastAsia="仿宋_GB2312"/>
          <w:b/>
          <w:bCs/>
          <w:sz w:val="28"/>
          <w:szCs w:val="28"/>
          <w:highlight w:val="none"/>
          <w:shd w:val="clear" w:color="auto" w:fill="FFFFFF"/>
        </w:rPr>
      </w:pPr>
      <w:r>
        <w:rPr>
          <w:rFonts w:hint="eastAsia" w:ascii="Times New Roman" w:hAnsi="Times New Roman" w:eastAsia="仿宋_GB2312"/>
          <w:b/>
          <w:bCs/>
          <w:sz w:val="28"/>
          <w:szCs w:val="28"/>
          <w:highlight w:val="none"/>
          <w:shd w:val="clear" w:color="auto" w:fill="FFFFFF"/>
        </w:rPr>
        <w:t>授权代表签字： ______________________________</w:t>
      </w:r>
    </w:p>
    <w:p>
      <w:pPr>
        <w:widowControl/>
        <w:jc w:val="left"/>
        <w:rPr>
          <w:rFonts w:ascii="Times New Roman" w:hAnsi="Times New Roman" w:eastAsia="仿宋_GB2312"/>
          <w:b/>
          <w:bCs/>
          <w:sz w:val="32"/>
          <w:szCs w:val="32"/>
          <w:highlight w:val="none"/>
          <w:shd w:val="clear" w:color="auto" w:fill="FFFFFF"/>
        </w:rPr>
      </w:pPr>
    </w:p>
    <w:p>
      <w:pPr>
        <w:widowControl/>
        <w:numPr>
          <w:ilvl w:val="255"/>
          <w:numId w:val="0"/>
        </w:numPr>
        <w:jc w:val="left"/>
        <w:rPr>
          <w:rFonts w:hint="eastAsia" w:ascii="方正小标宋简体" w:hAnsi="方正小标宋简体" w:eastAsia="方正小标宋简体" w:cs="方正小标宋简体"/>
          <w:color w:val="000000"/>
          <w:kern w:val="0"/>
          <w:sz w:val="44"/>
          <w:szCs w:val="44"/>
          <w:highlight w:val="none"/>
        </w:rPr>
      </w:pPr>
    </w:p>
    <w:p>
      <w:pPr>
        <w:widowControl/>
        <w:numPr>
          <w:ilvl w:val="255"/>
          <w:numId w:val="0"/>
        </w:numPr>
        <w:jc w:val="left"/>
        <w:rPr>
          <w:rFonts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备注1：</w:t>
      </w:r>
    </w:p>
    <w:p>
      <w:pPr>
        <w:widowControl/>
        <w:spacing w:line="560" w:lineRule="exact"/>
        <w:ind w:firstLine="422" w:firstLineChars="200"/>
        <w:rPr>
          <w:highlight w:val="none"/>
        </w:rPr>
      </w:pPr>
      <w:r>
        <w:rPr>
          <w:b/>
          <w:bCs/>
          <w:highlight w:val="none"/>
        </w:rPr>
        <w:t>营业执照等证明文件复印件</w:t>
      </w:r>
      <w:r>
        <w:rPr>
          <w:highlight w:val="none"/>
        </w:rPr>
        <w:t>：</w:t>
      </w:r>
      <w:r>
        <w:rPr>
          <w:rFonts w:hint="eastAsia" w:ascii="宋体" w:hAnsi="宋体" w:cs="宋体"/>
          <w:highlight w:val="none"/>
        </w:rPr>
        <w:t>①</w:t>
      </w:r>
      <w:r>
        <w:rPr>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rPr>
          <w:highlight w:val="none"/>
        </w:rPr>
      </w:pPr>
      <w:r>
        <w:rPr>
          <w:b/>
          <w:bCs/>
          <w:highlight w:val="none"/>
        </w:rPr>
        <w:t>单位授权书：</w:t>
      </w:r>
      <w:r>
        <w:rPr>
          <w:rFonts w:hint="eastAsia" w:ascii="宋体" w:hAnsi="宋体" w:cs="宋体"/>
          <w:highlight w:val="none"/>
        </w:rPr>
        <w:t>①</w:t>
      </w:r>
      <w:r>
        <w:rPr>
          <w:highlight w:val="none"/>
        </w:rP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highlight w:val="none"/>
        </w:rPr>
        <w:t>②</w:t>
      </w:r>
      <w:r>
        <w:rPr>
          <w:highlight w:val="none"/>
        </w:rPr>
        <w:t xml:space="preserve">投标人为自然人的，可不填写本授权书。 </w:t>
      </w:r>
    </w:p>
    <w:p>
      <w:pPr>
        <w:spacing w:line="560" w:lineRule="exact"/>
        <w:ind w:firstLine="422" w:firstLineChars="200"/>
        <w:rPr>
          <w:highlight w:val="none"/>
        </w:rPr>
      </w:pPr>
      <w:r>
        <w:rPr>
          <w:b/>
          <w:bCs/>
          <w:highlight w:val="none"/>
        </w:rPr>
        <w:t>财务状况报告：</w:t>
      </w:r>
      <w:r>
        <w:rPr>
          <w:rFonts w:hint="eastAsia" w:ascii="宋体" w:hAnsi="宋体" w:cs="宋体"/>
          <w:highlight w:val="none"/>
        </w:rPr>
        <w:t>①</w:t>
      </w:r>
      <w:r>
        <w:rPr>
          <w:highlight w:val="none"/>
        </w:rP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rPr>
          <w:highlight w:val="none"/>
        </w:rPr>
      </w:pPr>
      <w:r>
        <w:rPr>
          <w:b/>
          <w:bCs/>
          <w:highlight w:val="none"/>
        </w:rPr>
        <w:t>信用记录查询结果：</w:t>
      </w:r>
      <w:r>
        <w:rPr>
          <w:rFonts w:hint="eastAsia" w:ascii="宋体" w:hAnsi="宋体" w:cs="宋体"/>
          <w:highlight w:val="none"/>
        </w:rPr>
        <w:t>①</w:t>
      </w:r>
      <w:r>
        <w:rPr>
          <w:highlight w:val="none"/>
        </w:rPr>
        <w:t xml:space="preserve">信用记录查询的截止时点：信用记录查询的截止时点为本项目投标截止当日。 </w:t>
      </w:r>
      <w:r>
        <w:rPr>
          <w:rFonts w:hint="eastAsia" w:ascii="宋体" w:hAnsi="宋体" w:cs="宋体"/>
          <w:highlight w:val="none"/>
        </w:rPr>
        <w:t>②</w:t>
      </w:r>
      <w:r>
        <w:rPr>
          <w:highlight w:val="none"/>
        </w:rPr>
        <w:t xml:space="preserve">信用记录查询渠道：信用中国 （www.creditchina.gov.cn）、中国政府采购网 （www.ccgp.gov.cn）。 </w:t>
      </w:r>
      <w:r>
        <w:rPr>
          <w:rFonts w:hint="eastAsia" w:ascii="宋体" w:hAnsi="宋体" w:cs="宋体"/>
          <w:highlight w:val="none"/>
        </w:rPr>
        <w:t>③</w:t>
      </w:r>
      <w:r>
        <w:rPr>
          <w:highlight w:val="none"/>
        </w:rPr>
        <w:t xml:space="preserve">信用记录的查询：由资格审查小组 通过上述网站查询并打印投标人的信用记录。 </w:t>
      </w:r>
      <w:r>
        <w:rPr>
          <w:rFonts w:hint="eastAsia" w:ascii="宋体" w:hAnsi="宋体" w:cs="宋体"/>
          <w:highlight w:val="none"/>
        </w:rPr>
        <w:t>④</w:t>
      </w:r>
      <w:r>
        <w:rPr>
          <w:highlight w:val="none"/>
        </w:rP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highlight w:val="none"/>
        </w:rPr>
        <w:t xml:space="preserve"> </w:t>
      </w:r>
    </w:p>
    <w:p>
      <w:pPr>
        <w:widowControl/>
        <w:jc w:val="left"/>
        <w:rPr>
          <w:highlight w:val="none"/>
        </w:rPr>
      </w:pPr>
      <w:r>
        <w:rPr>
          <w:highlight w:val="none"/>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备注</w:t>
      </w:r>
      <w:r>
        <w:rPr>
          <w:rFonts w:ascii="方正小标宋简体" w:hAnsi="方正小标宋简体" w:eastAsia="方正小标宋简体" w:cs="方正小标宋简体"/>
          <w:color w:val="000000"/>
          <w:kern w:val="0"/>
          <w:sz w:val="44"/>
          <w:szCs w:val="44"/>
          <w:highlight w:val="none"/>
        </w:rPr>
        <w:t>2</w:t>
      </w:r>
      <w:r>
        <w:rPr>
          <w:rFonts w:hint="eastAsia" w:ascii="方正小标宋简体" w:hAnsi="方正小标宋简体" w:eastAsia="方正小标宋简体" w:cs="方正小标宋简体"/>
          <w:color w:val="000000"/>
          <w:kern w:val="0"/>
          <w:sz w:val="44"/>
          <w:szCs w:val="44"/>
          <w:highlight w:val="none"/>
        </w:rPr>
        <w:t>：</w:t>
      </w:r>
    </w:p>
    <w:p>
      <w:pPr>
        <w:spacing w:before="156" w:beforeLines="50" w:after="156" w:afterLines="50"/>
        <w:jc w:val="center"/>
        <w:rPr>
          <w:rFonts w:ascii="方正小标宋简体" w:hAnsi="Times New Roman" w:eastAsia="方正小标宋简体" w:cs="Times New Roman"/>
          <w:bCs/>
          <w:sz w:val="44"/>
          <w:szCs w:val="44"/>
          <w:highlight w:val="none"/>
        </w:rPr>
      </w:pPr>
      <w:r>
        <w:rPr>
          <w:rFonts w:hint="eastAsia" w:ascii="方正小标宋简体" w:hAnsi="Times New Roman" w:eastAsia="方正小标宋简体" w:cs="Times New Roman"/>
          <w:bCs/>
          <w:sz w:val="44"/>
          <w:szCs w:val="44"/>
          <w:highlight w:val="none"/>
        </w:rPr>
        <w:t>评分标准</w:t>
      </w:r>
    </w:p>
    <w:p>
      <w:pPr>
        <w:tabs>
          <w:tab w:val="left" w:pos="-1080"/>
          <w:tab w:val="left" w:pos="180"/>
          <w:tab w:val="left" w:pos="567"/>
          <w:tab w:val="left" w:pos="885"/>
          <w:tab w:val="left" w:pos="1080"/>
        </w:tabs>
        <w:snapToGrid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商务部分为F1、技术部分为F2、价格部分为F3</w:t>
      </w:r>
    </w:p>
    <w:p>
      <w:pPr>
        <w:widowControl/>
        <w:spacing w:line="560" w:lineRule="exact"/>
        <w:ind w:firstLine="640" w:firstLineChars="200"/>
        <w:rPr>
          <w:rFonts w:ascii="Times New Roman" w:hAnsi="Times New Roman" w:eastAsia="仿宋_GB2312" w:cs="Times New Roman"/>
          <w:color w:val="000000"/>
          <w:kern w:val="0"/>
          <w:sz w:val="32"/>
          <w:szCs w:val="32"/>
          <w:highlight w:val="none"/>
          <w:lang w:bidi="ar"/>
        </w:rPr>
      </w:pPr>
      <w:r>
        <w:rPr>
          <w:rFonts w:ascii="Times New Roman" w:hAnsi="Times New Roman" w:eastAsia="仿宋_GB2312" w:cs="Times New Roman"/>
          <w:color w:val="000000"/>
          <w:kern w:val="0"/>
          <w:sz w:val="32"/>
          <w:szCs w:val="32"/>
          <w:highlight w:val="none"/>
          <w:lang w:bidi="ar"/>
        </w:rPr>
        <w:t>本遴选项目满分为100分。各投标人的总评分=F1+F2+F3，其中商务分F1为</w:t>
      </w:r>
      <w:r>
        <w:rPr>
          <w:rFonts w:hint="eastAsia" w:ascii="Times New Roman" w:hAnsi="Times New Roman" w:eastAsia="仿宋_GB2312" w:cs="Times New Roman"/>
          <w:color w:val="000000"/>
          <w:kern w:val="0"/>
          <w:sz w:val="32"/>
          <w:szCs w:val="32"/>
          <w:highlight w:val="none"/>
          <w:lang w:bidi="ar"/>
        </w:rPr>
        <w:t>20</w:t>
      </w:r>
      <w:r>
        <w:rPr>
          <w:rFonts w:ascii="Times New Roman" w:hAnsi="Times New Roman" w:eastAsia="仿宋_GB2312" w:cs="Times New Roman"/>
          <w:color w:val="000000"/>
          <w:kern w:val="0"/>
          <w:sz w:val="32"/>
          <w:szCs w:val="32"/>
          <w:highlight w:val="none"/>
          <w:lang w:bidi="ar"/>
        </w:rPr>
        <w:t>分,技术分F2为</w:t>
      </w:r>
      <w:r>
        <w:rPr>
          <w:rFonts w:hint="eastAsia" w:ascii="Times New Roman" w:hAnsi="Times New Roman" w:eastAsia="仿宋_GB2312" w:cs="Times New Roman"/>
          <w:color w:val="000000"/>
          <w:kern w:val="0"/>
          <w:sz w:val="32"/>
          <w:szCs w:val="32"/>
          <w:highlight w:val="none"/>
          <w:lang w:val="en-US" w:eastAsia="zh-CN" w:bidi="ar"/>
        </w:rPr>
        <w:t>6</w:t>
      </w:r>
      <w:r>
        <w:rPr>
          <w:rFonts w:ascii="Times New Roman" w:hAnsi="Times New Roman" w:eastAsia="仿宋_GB2312" w:cs="Times New Roman"/>
          <w:color w:val="000000"/>
          <w:kern w:val="0"/>
          <w:sz w:val="32"/>
          <w:szCs w:val="32"/>
          <w:highlight w:val="none"/>
          <w:lang w:bidi="ar"/>
        </w:rPr>
        <w:t>0分，价格分F3为</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bidi="ar"/>
        </w:rPr>
        <w:t>0</w:t>
      </w:r>
      <w:r>
        <w:rPr>
          <w:rFonts w:ascii="Times New Roman" w:hAnsi="Times New Roman" w:eastAsia="仿宋_GB2312" w:cs="Times New Roman"/>
          <w:color w:val="000000"/>
          <w:kern w:val="0"/>
          <w:sz w:val="32"/>
          <w:szCs w:val="32"/>
          <w:highlight w:val="none"/>
          <w:lang w:bidi="ar"/>
        </w:rPr>
        <w:t>分。各投标人的总评分=F1+F2+F3。价格取供应商各项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spacing w:line="560" w:lineRule="exact"/>
        <w:ind w:firstLine="640" w:firstLineChars="200"/>
        <w:rPr>
          <w:rFonts w:ascii="Times New Roman" w:hAnsi="Times New Roman" w:eastAsia="仿宋_GB2312" w:cs="Times New Roman"/>
          <w:color w:val="000000"/>
          <w:kern w:val="0"/>
          <w:sz w:val="32"/>
          <w:szCs w:val="32"/>
          <w:highlight w:val="none"/>
          <w:lang w:bidi="ar"/>
        </w:rPr>
      </w:pPr>
      <w:r>
        <w:rPr>
          <w:rFonts w:ascii="Times New Roman" w:hAnsi="Times New Roman" w:eastAsia="仿宋_GB2312" w:cs="Times New Roman"/>
          <w:color w:val="000000"/>
          <w:kern w:val="0"/>
          <w:sz w:val="32"/>
          <w:szCs w:val="32"/>
          <w:highlight w:val="none"/>
          <w:lang w:bidi="ar"/>
        </w:rPr>
        <w:t>各评委取各自总评分最高者作为推荐中标合作供应商，最后中标供应商以评委组投票数最高者最终确认。</w:t>
      </w:r>
    </w:p>
    <w:p>
      <w:pPr>
        <w:widowControl/>
        <w:jc w:val="left"/>
        <w:rPr>
          <w:rFonts w:ascii="Times New Roman" w:hAnsi="Times New Roman" w:eastAsia="仿宋_GB2312" w:cs="Times New Roman"/>
          <w:color w:val="000000"/>
          <w:kern w:val="0"/>
          <w:sz w:val="32"/>
          <w:szCs w:val="32"/>
          <w:highlight w:val="none"/>
          <w:lang w:bidi="ar"/>
        </w:rPr>
      </w:pPr>
      <w:r>
        <w:rPr>
          <w:rFonts w:ascii="Times New Roman" w:hAnsi="Times New Roman" w:eastAsia="仿宋_GB2312" w:cs="Times New Roman"/>
          <w:color w:val="000000"/>
          <w:kern w:val="0"/>
          <w:sz w:val="32"/>
          <w:szCs w:val="32"/>
          <w:highlight w:val="none"/>
          <w:lang w:bidi="ar"/>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模板1</w:t>
      </w:r>
    </w:p>
    <w:p>
      <w:pPr>
        <w:widowControl/>
        <w:numPr>
          <w:ilvl w:val="255"/>
          <w:numId w:val="0"/>
        </w:numPr>
        <w:jc w:val="center"/>
        <w:rPr>
          <w:rFonts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法定代表人授权委托书</w:t>
      </w:r>
    </w:p>
    <w:p>
      <w:pPr>
        <w:widowControl/>
        <w:numPr>
          <w:ilvl w:val="255"/>
          <w:numId w:val="0"/>
        </w:numPr>
        <w:jc w:val="center"/>
        <w:rPr>
          <w:rFonts w:ascii="方正小标宋简体" w:hAnsi="方正小标宋简体" w:eastAsia="方正小标宋简体" w:cs="方正小标宋简体"/>
          <w:color w:val="000000"/>
          <w:kern w:val="0"/>
          <w:sz w:val="44"/>
          <w:szCs w:val="44"/>
          <w:highlight w:val="none"/>
        </w:rPr>
      </w:pPr>
    </w:p>
    <w:p>
      <w:pPr>
        <w:widowControl/>
        <w:numPr>
          <w:ilvl w:val="255"/>
          <w:numId w:val="0"/>
        </w:numPr>
        <w:spacing w:line="59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致：</w:t>
      </w:r>
      <w:r>
        <w:rPr>
          <w:rFonts w:hint="eastAsia" w:ascii="Times New Roman" w:hAnsi="Times New Roman" w:eastAsia="仿宋_GB2312" w:cs="Times New Roman"/>
          <w:b/>
          <w:bCs/>
          <w:color w:val="000000"/>
          <w:kern w:val="0"/>
          <w:sz w:val="32"/>
          <w:szCs w:val="32"/>
          <w:highlight w:val="none"/>
          <w:u w:val="single"/>
        </w:rPr>
        <w:t>福建省产品质量检验研究院</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本人</w:t>
      </w:r>
      <w:r>
        <w:rPr>
          <w:rFonts w:ascii="Times New Roman" w:hAnsi="Times New Roman" w:eastAsia="仿宋_GB2312" w:cs="Times New Roman"/>
          <w:b/>
          <w:bCs/>
          <w:color w:val="000000"/>
          <w:kern w:val="0"/>
          <w:sz w:val="32"/>
          <w:szCs w:val="32"/>
          <w:highlight w:val="none"/>
          <w:u w:val="single"/>
        </w:rPr>
        <w:t>（填写法定代表人姓名）</w:t>
      </w:r>
      <w:r>
        <w:rPr>
          <w:rFonts w:ascii="Times New Roman" w:hAnsi="Times New Roman" w:eastAsia="仿宋_GB2312" w:cs="Times New Roman"/>
          <w:color w:val="000000"/>
          <w:kern w:val="0"/>
          <w:sz w:val="32"/>
          <w:szCs w:val="32"/>
          <w:highlight w:val="none"/>
        </w:rPr>
        <w:t xml:space="preserve"> 系 </w:t>
      </w:r>
      <w:r>
        <w:rPr>
          <w:rFonts w:ascii="Times New Roman" w:hAnsi="Times New Roman" w:eastAsia="仿宋_GB2312" w:cs="Times New Roman"/>
          <w:b/>
          <w:bCs/>
          <w:color w:val="000000"/>
          <w:kern w:val="0"/>
          <w:sz w:val="32"/>
          <w:szCs w:val="32"/>
          <w:highlight w:val="none"/>
          <w:u w:val="single"/>
        </w:rPr>
        <w:t>（填写投标人单位全称）</w:t>
      </w:r>
      <w:r>
        <w:rPr>
          <w:rFonts w:ascii="Times New Roman" w:hAnsi="Times New Roman" w:eastAsia="仿宋_GB2312" w:cs="Times New Roman"/>
          <w:color w:val="000000"/>
          <w:kern w:val="0"/>
          <w:sz w:val="32"/>
          <w:szCs w:val="32"/>
          <w:highlight w:val="none"/>
        </w:rPr>
        <w:t xml:space="preserve"> 的法定代表人，现授权委托</w:t>
      </w:r>
      <w:r>
        <w:rPr>
          <w:rFonts w:ascii="Times New Roman" w:hAnsi="Times New Roman" w:eastAsia="仿宋_GB2312" w:cs="Times New Roman"/>
          <w:b/>
          <w:bCs/>
          <w:color w:val="000000"/>
          <w:kern w:val="0"/>
          <w:sz w:val="32"/>
          <w:szCs w:val="32"/>
          <w:highlight w:val="none"/>
          <w:u w:val="single"/>
        </w:rPr>
        <w:t>（填写被委托人姓名）</w:t>
      </w:r>
      <w:r>
        <w:rPr>
          <w:rFonts w:ascii="Times New Roman" w:hAnsi="Times New Roman" w:eastAsia="仿宋_GB2312" w:cs="Times New Roman"/>
          <w:color w:val="000000"/>
          <w:kern w:val="0"/>
          <w:sz w:val="32"/>
          <w:szCs w:val="32"/>
          <w:highlight w:val="none"/>
          <w:u w:val="single"/>
        </w:rPr>
        <w:t xml:space="preserve"> </w:t>
      </w:r>
      <w:r>
        <w:rPr>
          <w:rFonts w:ascii="Times New Roman" w:hAnsi="Times New Roman" w:eastAsia="仿宋_GB2312" w:cs="Times New Roman"/>
          <w:color w:val="000000"/>
          <w:kern w:val="0"/>
          <w:sz w:val="32"/>
          <w:szCs w:val="32"/>
          <w:highlight w:val="none"/>
        </w:rPr>
        <w:t>为我方合法代理人，以本</w:t>
      </w:r>
      <w:r>
        <w:rPr>
          <w:rFonts w:hint="eastAsia" w:ascii="Times New Roman" w:hAnsi="Times New Roman" w:eastAsia="仿宋_GB2312" w:cs="Times New Roman"/>
          <w:color w:val="000000"/>
          <w:kern w:val="0"/>
          <w:sz w:val="32"/>
          <w:szCs w:val="32"/>
          <w:highlight w:val="none"/>
        </w:rPr>
        <w:t>单位</w:t>
      </w:r>
      <w:r>
        <w:rPr>
          <w:rFonts w:ascii="Times New Roman" w:hAnsi="Times New Roman" w:eastAsia="仿宋_GB2312" w:cs="Times New Roman"/>
          <w:color w:val="000000"/>
          <w:kern w:val="0"/>
          <w:sz w:val="32"/>
          <w:szCs w:val="32"/>
          <w:highlight w:val="none"/>
        </w:rPr>
        <w:t>的名义全权参加</w:t>
      </w:r>
      <w:r>
        <w:rPr>
          <w:rFonts w:ascii="Times New Roman" w:hAnsi="Times New Roman" w:eastAsia="仿宋_GB2312" w:cs="Times New Roman"/>
          <w:b/>
          <w:bCs/>
          <w:color w:val="000000"/>
          <w:kern w:val="0"/>
          <w:sz w:val="32"/>
          <w:szCs w:val="32"/>
          <w:highlight w:val="none"/>
          <w:u w:val="single"/>
        </w:rPr>
        <w:t>（填写项目名称） （采购编号）</w:t>
      </w:r>
      <w:r>
        <w:rPr>
          <w:rFonts w:ascii="Times New Roman" w:hAnsi="Times New Roman" w:eastAsia="仿宋_GB2312" w:cs="Times New Roman"/>
          <w:color w:val="000000"/>
          <w:kern w:val="0"/>
          <w:sz w:val="32"/>
          <w:szCs w:val="32"/>
          <w:highlight w:val="none"/>
        </w:rPr>
        <w:t>的投标活动。</w:t>
      </w:r>
    </w:p>
    <w:p>
      <w:pPr>
        <w:widowControl/>
        <w:numPr>
          <w:ilvl w:val="255"/>
          <w:numId w:val="0"/>
        </w:numPr>
        <w:spacing w:line="590" w:lineRule="exact"/>
        <w:ind w:firstLine="640" w:firstLineChars="200"/>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代理人的授权范围为：代表我方全权办理上述项目的投标等具体事务。</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本授权委托书自</w:t>
      </w:r>
      <w:r>
        <w:rPr>
          <w:rFonts w:ascii="Times New Roman" w:hAnsi="Times New Roman" w:eastAsia="仿宋_GB2312" w:cs="Times New Roman"/>
          <w:b/>
          <w:bCs/>
          <w:color w:val="000000"/>
          <w:kern w:val="0"/>
          <w:sz w:val="32"/>
          <w:szCs w:val="32"/>
          <w:highlight w:val="none"/>
          <w:u w:val="single"/>
        </w:rPr>
        <w:t xml:space="preserve">（填写授权生效日期） </w:t>
      </w:r>
      <w:r>
        <w:rPr>
          <w:rFonts w:ascii="Times New Roman" w:hAnsi="Times New Roman" w:eastAsia="仿宋_GB2312" w:cs="Times New Roman"/>
          <w:color w:val="000000"/>
          <w:kern w:val="0"/>
          <w:sz w:val="32"/>
          <w:szCs w:val="32"/>
          <w:highlight w:val="none"/>
        </w:rPr>
        <w:t>签字盖章之日起生效。</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特此委托。</w:t>
      </w:r>
    </w:p>
    <w:p>
      <w:pPr>
        <w:widowControl/>
        <w:numPr>
          <w:ilvl w:val="255"/>
          <w:numId w:val="0"/>
        </w:numPr>
        <w:jc w:val="left"/>
        <w:rPr>
          <w:rFonts w:ascii="Times New Roman" w:hAnsi="Times New Roman" w:eastAsia="仿宋_GB2312" w:cs="Times New Roman"/>
          <w:color w:val="000000"/>
          <w:kern w:val="0"/>
          <w:sz w:val="32"/>
          <w:szCs w:val="32"/>
          <w:highlight w:val="none"/>
        </w:rPr>
      </w:pPr>
    </w:p>
    <w:p>
      <w:pPr>
        <w:widowControl/>
        <w:numPr>
          <w:ilvl w:val="255"/>
          <w:numId w:val="0"/>
        </w:numPr>
        <w:spacing w:line="7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投标人名称： （填写投标人单位全称，加盖公章）</w:t>
      </w:r>
    </w:p>
    <w:p>
      <w:pPr>
        <w:widowControl/>
        <w:numPr>
          <w:ilvl w:val="255"/>
          <w:numId w:val="0"/>
        </w:numPr>
        <w:spacing w:line="7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法定代表人：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授权代理人： （签名或盖章）</w:t>
      </w:r>
    </w:p>
    <w:p>
      <w:pPr>
        <w:widowControl/>
        <w:numPr>
          <w:ilvl w:val="255"/>
          <w:numId w:val="0"/>
        </w:numPr>
        <w:spacing w:line="700" w:lineRule="exact"/>
        <w:jc w:val="left"/>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联系方式：</w:t>
      </w:r>
    </w:p>
    <w:p>
      <w:pPr>
        <w:widowControl/>
        <w:numPr>
          <w:ilvl w:val="255"/>
          <w:numId w:val="0"/>
        </w:numPr>
        <w:spacing w:line="7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日期：________年______月______日</w:t>
      </w:r>
    </w:p>
    <w:p>
      <w:pPr>
        <w:widowControl/>
        <w:numPr>
          <w:ilvl w:val="255"/>
          <w:numId w:val="0"/>
        </w:numPr>
        <w:jc w:val="left"/>
        <w:rPr>
          <w:rFonts w:ascii="Times New Roman" w:hAnsi="Times New Roman" w:eastAsia="仿宋_GB2312" w:cs="Times New Roman"/>
          <w:color w:val="000000"/>
          <w:kern w:val="0"/>
          <w:sz w:val="32"/>
          <w:szCs w:val="32"/>
          <w:highlight w:val="none"/>
        </w:rPr>
      </w:pPr>
    </w:p>
    <w:p>
      <w:pPr>
        <w:widowControl/>
        <w:numPr>
          <w:ilvl w:val="255"/>
          <w:numId w:val="0"/>
        </w:numPr>
        <w:jc w:val="left"/>
        <w:rPr>
          <w:rFonts w:ascii="Times New Roman" w:hAnsi="Times New Roman" w:eastAsia="仿宋_GB2312" w:cs="Times New Roman"/>
          <w:b/>
          <w:bCs/>
          <w:color w:val="000000"/>
          <w:kern w:val="0"/>
          <w:sz w:val="32"/>
          <w:szCs w:val="32"/>
          <w:highlight w:val="none"/>
        </w:rPr>
      </w:pPr>
      <w:r>
        <w:rPr>
          <w:rFonts w:ascii="Times New Roman" w:hAnsi="Times New Roman" w:eastAsia="仿宋_GB2312" w:cs="Times New Roman"/>
          <w:b/>
          <w:bCs/>
          <w:color w:val="000000"/>
          <w:kern w:val="0"/>
          <w:sz w:val="32"/>
          <w:szCs w:val="32"/>
          <w:highlight w:val="none"/>
        </w:rPr>
        <w:t>【附件</w:t>
      </w:r>
      <w:r>
        <w:rPr>
          <w:rFonts w:hint="eastAsia" w:ascii="Times New Roman" w:hAnsi="Times New Roman" w:eastAsia="仿宋_GB2312" w:cs="Times New Roman"/>
          <w:b/>
          <w:bCs/>
          <w:color w:val="000000"/>
          <w:kern w:val="0"/>
          <w:sz w:val="32"/>
          <w:szCs w:val="32"/>
          <w:highlight w:val="none"/>
        </w:rPr>
        <w:t>1</w:t>
      </w:r>
      <w:r>
        <w:rPr>
          <w:rFonts w:ascii="Times New Roman" w:hAnsi="Times New Roman" w:eastAsia="仿宋_GB2312" w:cs="Times New Roman"/>
          <w:b/>
          <w:bCs/>
          <w:color w:val="000000"/>
          <w:kern w:val="0"/>
          <w:sz w:val="32"/>
          <w:szCs w:val="32"/>
          <w:highlight w:val="none"/>
        </w:rPr>
        <w:t>】</w:t>
      </w:r>
    </w:p>
    <w:p>
      <w:pPr>
        <w:widowControl/>
        <w:numPr>
          <w:ilvl w:val="255"/>
          <w:numId w:val="0"/>
        </w:numPr>
        <w:jc w:val="left"/>
        <w:rPr>
          <w:rFonts w:ascii="Times New Roman" w:hAnsi="Times New Roman" w:eastAsia="仿宋_GB2312" w:cs="Times New Roman"/>
          <w:color w:val="000000"/>
          <w:kern w:val="0"/>
          <w:sz w:val="32"/>
          <w:szCs w:val="32"/>
          <w:highlight w:val="none"/>
        </w:rPr>
      </w:pPr>
    </w:p>
    <w:p>
      <w:pPr>
        <w:widowControl/>
        <w:numPr>
          <w:ilvl w:val="255"/>
          <w:numId w:val="0"/>
        </w:numPr>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本授权书后附以下资料</w:t>
      </w:r>
      <w:r>
        <w:rPr>
          <w:rFonts w:ascii="Times New Roman" w:hAnsi="Times New Roman" w:eastAsia="仿宋_GB2312" w:cs="Times New Roman"/>
          <w:b/>
          <w:bCs/>
          <w:color w:val="000000"/>
          <w:kern w:val="0"/>
          <w:sz w:val="32"/>
          <w:szCs w:val="32"/>
          <w:highlight w:val="none"/>
        </w:rPr>
        <w:t>（需加盖单位公章）</w:t>
      </w:r>
      <w:r>
        <w:rPr>
          <w:rFonts w:ascii="Times New Roman" w:hAnsi="Times New Roman" w:eastAsia="仿宋_GB2312" w:cs="Times New Roman"/>
          <w:color w:val="000000"/>
          <w:kern w:val="0"/>
          <w:sz w:val="32"/>
          <w:szCs w:val="32"/>
          <w:highlight w:val="none"/>
        </w:rPr>
        <w:t>：</w:t>
      </w:r>
    </w:p>
    <w:p>
      <w:pPr>
        <w:widowControl/>
        <w:numPr>
          <w:ilvl w:val="255"/>
          <w:numId w:val="0"/>
        </w:numPr>
        <w:jc w:val="left"/>
        <w:rPr>
          <w:rFonts w:ascii="Times New Roman" w:hAnsi="Times New Roman" w:eastAsia="仿宋_GB2312" w:cs="Times New Roman"/>
          <w:color w:val="000000"/>
          <w:kern w:val="0"/>
          <w:sz w:val="32"/>
          <w:szCs w:val="32"/>
          <w:highlight w:val="none"/>
        </w:rPr>
      </w:pPr>
    </w:p>
    <w:p>
      <w:pPr>
        <w:widowControl/>
        <w:numPr>
          <w:ilvl w:val="255"/>
          <w:numId w:val="0"/>
        </w:numPr>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法定代表人有效期内身份证复印件（正、反两面）一份；</w:t>
      </w:r>
    </w:p>
    <w:p>
      <w:pPr>
        <w:widowControl/>
        <w:numPr>
          <w:ilvl w:val="255"/>
          <w:numId w:val="0"/>
        </w:numPr>
        <w:jc w:val="left"/>
        <w:rPr>
          <w:rFonts w:ascii="Times New Roman" w:hAnsi="Times New Roman" w:eastAsia="仿宋_GB2312" w:cs="Times New Roman"/>
          <w:color w:val="000000"/>
          <w:kern w:val="0"/>
          <w:sz w:val="32"/>
          <w:szCs w:val="32"/>
          <w:highlight w:val="none"/>
        </w:rPr>
      </w:pPr>
    </w:p>
    <w:p>
      <w:pPr>
        <w:widowControl/>
        <w:numPr>
          <w:ilvl w:val="255"/>
          <w:numId w:val="0"/>
        </w:numPr>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被授权代理人有效期内身份证复印件（正、反两面）一份。</w:t>
      </w: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highlight w:val="none"/>
        </w:rPr>
      </w:pPr>
    </w:p>
    <w:p>
      <w:pPr>
        <w:widowControl/>
        <w:numPr>
          <w:ilvl w:val="255"/>
          <w:numId w:val="0"/>
        </w:numPr>
        <w:jc w:val="left"/>
        <w:rPr>
          <w:rFonts w:hint="eastAsia"/>
          <w:highlight w:val="none"/>
        </w:rPr>
      </w:pPr>
    </w:p>
    <w:p>
      <w:pPr>
        <w:widowControl/>
        <w:numPr>
          <w:ilvl w:val="255"/>
          <w:numId w:val="0"/>
        </w:numPr>
        <w:jc w:val="left"/>
        <w:rPr>
          <w:b/>
          <w:bCs/>
          <w:spacing w:val="6"/>
          <w:highlight w:val="none"/>
        </w:rPr>
      </w:pPr>
      <w:r>
        <w:rPr>
          <w:rFonts w:ascii="Times New Roman" w:hAnsi="Times New Roman" w:eastAsia="仿宋_GB2312" w:cs="Times New Roman"/>
          <w:b/>
          <w:bCs/>
          <w:color w:val="000000"/>
          <w:kern w:val="0"/>
          <w:sz w:val="32"/>
          <w:szCs w:val="32"/>
          <w:highlight w:val="none"/>
        </w:rPr>
        <w:t>【附件</w:t>
      </w:r>
      <w:r>
        <w:rPr>
          <w:rFonts w:hint="eastAsia" w:ascii="Times New Roman" w:hAnsi="Times New Roman" w:eastAsia="仿宋_GB2312" w:cs="Times New Roman"/>
          <w:b/>
          <w:bCs/>
          <w:color w:val="000000"/>
          <w:kern w:val="0"/>
          <w:sz w:val="32"/>
          <w:szCs w:val="32"/>
          <w:highlight w:val="none"/>
        </w:rPr>
        <w:t>2</w:t>
      </w:r>
      <w:r>
        <w:rPr>
          <w:rFonts w:ascii="Times New Roman" w:hAnsi="Times New Roman" w:eastAsia="仿宋_GB2312" w:cs="Times New Roman"/>
          <w:b/>
          <w:bCs/>
          <w:color w:val="000000"/>
          <w:kern w:val="0"/>
          <w:sz w:val="32"/>
          <w:szCs w:val="32"/>
          <w:highlight w:val="none"/>
        </w:rPr>
        <w:t>】</w:t>
      </w:r>
    </w:p>
    <w:p>
      <w:pPr>
        <w:pStyle w:val="2"/>
        <w:tabs>
          <w:tab w:val="left" w:pos="567"/>
        </w:tabs>
        <w:spacing w:line="360" w:lineRule="auto"/>
        <w:ind w:firstLine="446" w:firstLineChars="200"/>
        <w:rPr>
          <w:b/>
          <w:bCs/>
          <w:highlight w:val="none"/>
        </w:rPr>
      </w:pPr>
      <w:r>
        <w:rPr>
          <w:b/>
          <w:bCs/>
          <w:spacing w:val="6"/>
          <w:highlight w:val="none"/>
        </w:rPr>
        <w:t>搬迁设备物品清单仅供参考，搬迁时可能根据实际情况存在细微调整，具体数量以现场统计确认为准。</w:t>
      </w:r>
      <w:r>
        <w:rPr>
          <w:b/>
          <w:bCs/>
          <w:spacing w:val="9"/>
          <w:highlight w:val="none"/>
        </w:rPr>
        <w:t>要求搬迁公司完成拆装、搬迁、调试、需用户验收合格。</w:t>
      </w:r>
    </w:p>
    <w:tbl>
      <w:tblPr>
        <w:tblStyle w:val="8"/>
        <w:tblW w:w="10177" w:type="dxa"/>
        <w:tblInd w:w="-281" w:type="dxa"/>
        <w:tblLayout w:type="autofit"/>
        <w:tblCellMar>
          <w:top w:w="0" w:type="dxa"/>
          <w:left w:w="0" w:type="dxa"/>
          <w:bottom w:w="0" w:type="dxa"/>
          <w:right w:w="0" w:type="dxa"/>
        </w:tblCellMar>
      </w:tblPr>
      <w:tblGrid>
        <w:gridCol w:w="346"/>
        <w:gridCol w:w="2650"/>
        <w:gridCol w:w="2044"/>
        <w:gridCol w:w="1843"/>
        <w:gridCol w:w="567"/>
        <w:gridCol w:w="432"/>
        <w:gridCol w:w="474"/>
        <w:gridCol w:w="565"/>
        <w:gridCol w:w="1256"/>
      </w:tblGrid>
      <w:tr>
        <w:tblPrEx>
          <w:tblCellMar>
            <w:top w:w="0" w:type="dxa"/>
            <w:left w:w="0" w:type="dxa"/>
            <w:bottom w:w="0" w:type="dxa"/>
            <w:right w:w="0" w:type="dxa"/>
          </w:tblCellMar>
        </w:tblPrEx>
        <w:trPr>
          <w:gridAfter w:val="1"/>
          <w:wAfter w:w="1256" w:type="dxa"/>
          <w:trHeight w:val="450" w:hRule="atLeast"/>
        </w:trPr>
        <w:tc>
          <w:tcPr>
            <w:tcW w:w="8921" w:type="dxa"/>
            <w:gridSpan w:val="8"/>
            <w:tcBorders>
              <w:top w:val="nil"/>
              <w:left w:val="nil"/>
              <w:bottom w:val="nil"/>
              <w:right w:val="nil"/>
            </w:tcBorders>
            <w:vAlign w:val="center"/>
          </w:tcPr>
          <w:p>
            <w:pPr>
              <w:widowControl/>
              <w:jc w:val="center"/>
              <w:rPr>
                <w:rFonts w:ascii="等线" w:hAnsi="等线" w:eastAsia="等线" w:cs="宋体"/>
                <w:b/>
                <w:bCs/>
                <w:kern w:val="0"/>
                <w:sz w:val="32"/>
                <w:szCs w:val="32"/>
                <w:highlight w:val="none"/>
              </w:rPr>
            </w:pPr>
            <w:r>
              <w:rPr>
                <w:rFonts w:ascii="等线" w:hAnsi="等线" w:eastAsia="等线" w:cs="宋体"/>
                <w:b/>
                <w:bCs/>
                <w:kern w:val="0"/>
                <w:sz w:val="36"/>
                <w:szCs w:val="36"/>
                <w:highlight w:val="none"/>
              </w:rPr>
              <w:t xml:space="preserve"> </w:t>
            </w:r>
            <w:r>
              <w:rPr>
                <w:rFonts w:ascii="等线" w:hAnsi="等线" w:eastAsia="等线" w:cs="宋体"/>
                <w:b/>
                <w:bCs/>
                <w:kern w:val="0"/>
                <w:sz w:val="32"/>
                <w:szCs w:val="32"/>
                <w:highlight w:val="none"/>
              </w:rPr>
              <w:t xml:space="preserve"> </w:t>
            </w:r>
            <w:r>
              <w:rPr>
                <w:rFonts w:hint="eastAsia" w:ascii="等线" w:hAnsi="等线" w:eastAsia="等线" w:cs="宋体"/>
                <w:b/>
                <w:bCs/>
                <w:kern w:val="0"/>
                <w:sz w:val="32"/>
                <w:szCs w:val="32"/>
                <w:highlight w:val="none"/>
              </w:rPr>
              <w:t>武夷山基地搬迁物品清单1</w:t>
            </w:r>
          </w:p>
          <w:p>
            <w:pPr>
              <w:widowControl/>
              <w:jc w:val="center"/>
              <w:rPr>
                <w:rFonts w:ascii="等线" w:hAnsi="等线" w:eastAsia="等线" w:cs="宋体"/>
                <w:b/>
                <w:bCs/>
                <w:kern w:val="0"/>
                <w:sz w:val="32"/>
                <w:szCs w:val="32"/>
                <w:highlight w:val="none"/>
              </w:rPr>
            </w:pPr>
            <w:r>
              <w:rPr>
                <w:rFonts w:hint="eastAsia" w:ascii="等线" w:hAnsi="等线" w:eastAsia="等线" w:cs="宋体"/>
                <w:b/>
                <w:bCs/>
                <w:kern w:val="0"/>
                <w:sz w:val="32"/>
                <w:szCs w:val="32"/>
                <w:highlight w:val="none"/>
              </w:rPr>
              <w:t>（精密仪器设备、化学品、气瓶等）</w:t>
            </w:r>
          </w:p>
        </w:tc>
      </w:tr>
      <w:tr>
        <w:tblPrEx>
          <w:tblCellMar>
            <w:top w:w="0" w:type="dxa"/>
            <w:left w:w="0" w:type="dxa"/>
            <w:bottom w:w="0" w:type="dxa"/>
            <w:right w:w="0" w:type="dxa"/>
          </w:tblCellMar>
        </w:tblPrEx>
        <w:trPr>
          <w:gridAfter w:val="1"/>
          <w:wAfter w:w="1256" w:type="dxa"/>
          <w:trHeight w:val="521" w:hRule="atLeast"/>
        </w:trPr>
        <w:tc>
          <w:tcPr>
            <w:tcW w:w="3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序号</w:t>
            </w:r>
          </w:p>
        </w:tc>
        <w:tc>
          <w:tcPr>
            <w:tcW w:w="2650"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资产名称</w:t>
            </w:r>
          </w:p>
        </w:tc>
        <w:tc>
          <w:tcPr>
            <w:tcW w:w="2044"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生产厂家</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型号规格</w:t>
            </w:r>
          </w:p>
        </w:tc>
        <w:tc>
          <w:tcPr>
            <w:tcW w:w="56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单位</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数量</w:t>
            </w:r>
          </w:p>
        </w:tc>
        <w:tc>
          <w:tcPr>
            <w:tcW w:w="47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放置地点</w:t>
            </w:r>
          </w:p>
        </w:tc>
        <w:tc>
          <w:tcPr>
            <w:tcW w:w="5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备注</w:t>
            </w:r>
          </w:p>
        </w:tc>
      </w:tr>
      <w:tr>
        <w:tblPrEx>
          <w:tblCellMar>
            <w:top w:w="0" w:type="dxa"/>
            <w:left w:w="0" w:type="dxa"/>
            <w:bottom w:w="0" w:type="dxa"/>
            <w:right w:w="0" w:type="dxa"/>
          </w:tblCellMar>
        </w:tblPrEx>
        <w:trPr>
          <w:trHeight w:val="280" w:hRule="atLeast"/>
        </w:trPr>
        <w:tc>
          <w:tcPr>
            <w:tcW w:w="3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pacing w:val="8"/>
                <w:sz w:val="24"/>
                <w:highlight w:val="none"/>
                <w:lang w:eastAsia="en-US"/>
              </w:rPr>
            </w:pPr>
          </w:p>
        </w:tc>
        <w:tc>
          <w:tcPr>
            <w:tcW w:w="2650" w:type="dxa"/>
            <w:vMerge w:val="continue"/>
            <w:tcBorders>
              <w:top w:val="single" w:color="auto" w:sz="4" w:space="0"/>
              <w:left w:val="single" w:color="auto" w:sz="4" w:space="0"/>
              <w:bottom w:val="single" w:color="000000" w:sz="4" w:space="0"/>
              <w:right w:val="single" w:color="000000" w:sz="4" w:space="0"/>
            </w:tcBorders>
            <w:vAlign w:val="center"/>
          </w:tcPr>
          <w:p>
            <w:pPr>
              <w:widowControl/>
              <w:rPr>
                <w:rFonts w:ascii="宋体" w:hAnsi="宋体" w:eastAsia="宋体" w:cs="宋体"/>
                <w:spacing w:val="8"/>
                <w:sz w:val="24"/>
                <w:highlight w:val="none"/>
                <w:lang w:eastAsia="en-US"/>
              </w:rPr>
            </w:pPr>
          </w:p>
        </w:tc>
        <w:tc>
          <w:tcPr>
            <w:tcW w:w="2044" w:type="dxa"/>
            <w:vMerge w:val="continue"/>
            <w:tcBorders>
              <w:top w:val="single" w:color="auto" w:sz="4" w:space="0"/>
              <w:left w:val="nil"/>
              <w:bottom w:val="single" w:color="000000" w:sz="4" w:space="0"/>
              <w:right w:val="single" w:color="auto" w:sz="4" w:space="0"/>
            </w:tcBorders>
            <w:vAlign w:val="center"/>
          </w:tcPr>
          <w:p>
            <w:pPr>
              <w:widowControl/>
              <w:rPr>
                <w:rFonts w:ascii="宋体" w:hAnsi="宋体" w:eastAsia="宋体" w:cs="宋体"/>
                <w:spacing w:val="8"/>
                <w:sz w:val="24"/>
                <w:highlight w:val="none"/>
                <w:lang w:eastAsia="en-US"/>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pacing w:val="8"/>
                <w:sz w:val="24"/>
                <w:highlight w:val="none"/>
                <w:lang w:eastAsia="en-US"/>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spacing w:val="8"/>
                <w:sz w:val="24"/>
                <w:highlight w:val="none"/>
                <w:lang w:eastAsia="en-US"/>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pacing w:val="8"/>
                <w:sz w:val="24"/>
                <w:highlight w:val="none"/>
                <w:lang w:eastAsia="en-US"/>
              </w:rPr>
            </w:pPr>
          </w:p>
        </w:tc>
        <w:tc>
          <w:tcPr>
            <w:tcW w:w="47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spacing w:val="8"/>
                <w:sz w:val="24"/>
                <w:highlight w:val="none"/>
                <w:lang w:eastAsia="en-US"/>
              </w:rPr>
            </w:pPr>
          </w:p>
        </w:tc>
        <w:tc>
          <w:tcPr>
            <w:tcW w:w="56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spacing w:val="8"/>
                <w:sz w:val="24"/>
                <w:highlight w:val="none"/>
                <w:lang w:eastAsia="en-US"/>
              </w:rPr>
            </w:pPr>
          </w:p>
        </w:tc>
        <w:tc>
          <w:tcPr>
            <w:tcW w:w="1256" w:type="dxa"/>
            <w:tcBorders>
              <w:top w:val="nil"/>
              <w:left w:val="nil"/>
              <w:bottom w:val="nil"/>
              <w:right w:val="nil"/>
            </w:tcBorders>
            <w:noWrap/>
            <w:vAlign w:val="center"/>
          </w:tcPr>
          <w:p>
            <w:pPr>
              <w:widowControl/>
              <w:jc w:val="center"/>
              <w:rPr>
                <w:rFonts w:ascii="等线" w:hAnsi="等线" w:eastAsia="等线" w:cs="宋体"/>
                <w:kern w:val="0"/>
                <w:szCs w:val="22"/>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箱式电阻炉</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上海一恒科学仪器有限公司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SX2-4-10N</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热源室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电子天平</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常熟市双杰测试仪器厂</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JJ1000Y</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感官室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一楼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电子天平</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常熟市双杰测试仪器厂</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JJ1000Y</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三重四级杆串联质谱仪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美国赛默飞世尔</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TSQ9000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5</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戴尔</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OPTIPLEX XE2</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6</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Pro M104a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7</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不间断电源SANTAK</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CASTLE 10KS（6G）</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8</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赶酸仪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上海屹尧</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G-100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112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9</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全自动平行浓缩仪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厦门睿科</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Auto EVA-20Plus</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10</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全自动固相萃取仪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厦门睿科</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Fotector-02HT</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84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11</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无油真空泵</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天津津腾</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GM1.0A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84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12</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无油真空泵</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天津津腾</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GM1.0A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13</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气相色谱仪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美国安捷伦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7890B</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14</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戴尔</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OPTIPLEX 5050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15</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P1108</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16</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不间断电源UPS</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深圳科士达科技股份有限公司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YDC9110H-U</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17</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超高效液相色谱仪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美国安捷伦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1290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18</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紫外分光光度计</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上海天美科学仪器有限公司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UV1000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19</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纯水仪</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上海和泰仪器有限公司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Master-S15</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112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20</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石墨炉原子吸收光谱仪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赛默飞世尔</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ICE3400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21</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联想</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启天B4550-B031</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22</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P1108</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1256" w:type="dxa"/>
            <w:vAlign w:val="center"/>
          </w:tcPr>
          <w:p>
            <w:pPr>
              <w:widowControl/>
              <w:rPr>
                <w:rFonts w:ascii="Times New Roman" w:hAnsi="Times New Roman" w:eastAsia="Times New Roman" w:cs="Times New Roman"/>
                <w:kern w:val="0"/>
                <w:sz w:val="20"/>
                <w:szCs w:val="20"/>
                <w:highlight w:val="none"/>
              </w:rPr>
            </w:pP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23</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交流净化稳压电源</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YQS-10KB</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24</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冷却循环水泵</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Thermo</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25</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电子天平</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奥豪斯</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PX224ZH/E</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微生物检验室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26</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气相色谱仪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美国安捷伦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7890A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27</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Compaq</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28</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Z230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29</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P3015</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30</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液相色谱仪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美国安捷伦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1200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112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31</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Compaq</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32</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P1108</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84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33</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液质联用仪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6420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84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34</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电脑</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Z420</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35</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打印机</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惠普</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P3015</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36</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不间断电源IEAS</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福州英菲凌电子有限公司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YG0110-6KL</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37</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氮气发生器</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毕克气体仪器贸易（上海）有限公司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PEAK NM32LA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38</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气质联用仪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安捷伦</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5977A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39</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微波消解仪</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上海屹尧</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TOPEX+</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40</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电热鼓风干燥箱</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上海一恒科学仪器有限公司</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DHG-9145A</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热源室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41</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托盘天平</w:t>
            </w:r>
          </w:p>
        </w:tc>
        <w:tc>
          <w:tcPr>
            <w:tcW w:w="204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11004</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112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42</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气瓶安全柜</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90cm*180cm</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分析一、二室</w:t>
            </w:r>
            <w:r>
              <w:rPr>
                <w:rFonts w:hint="eastAsia"/>
                <w:sz w:val="22"/>
                <w:szCs w:val="22"/>
                <w:highlight w:val="none"/>
              </w:rPr>
              <w:br w:type="textWrapping"/>
            </w:r>
            <w:r>
              <w:rPr>
                <w:rFonts w:hint="eastAsia"/>
                <w:sz w:val="22"/>
                <w:szCs w:val="22"/>
                <w:highlight w:val="none"/>
              </w:rPr>
              <w:t>化验室二室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二、三楼</w:t>
            </w:r>
          </w:p>
        </w:tc>
      </w:tr>
      <w:tr>
        <w:tblPrEx>
          <w:tblCellMar>
            <w:top w:w="0" w:type="dxa"/>
            <w:left w:w="0" w:type="dxa"/>
            <w:bottom w:w="0" w:type="dxa"/>
            <w:right w:w="0" w:type="dxa"/>
          </w:tblCellMar>
        </w:tblPrEx>
        <w:trPr>
          <w:gridAfter w:val="1"/>
          <w:wAfter w:w="1256" w:type="dxa"/>
          <w:trHeight w:val="28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43</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气瓶安全柜</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120cm*190cm</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44</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易制毒柜</w:t>
            </w:r>
          </w:p>
        </w:tc>
        <w:tc>
          <w:tcPr>
            <w:tcW w:w="204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110cm*170cm</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43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47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药品储存室</w:t>
            </w:r>
          </w:p>
        </w:tc>
        <w:tc>
          <w:tcPr>
            <w:tcW w:w="56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45</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药品（含易制毒）</w:t>
            </w:r>
          </w:p>
        </w:tc>
        <w:tc>
          <w:tcPr>
            <w:tcW w:w="2044"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w:t>
            </w:r>
          </w:p>
        </w:tc>
        <w:tc>
          <w:tcPr>
            <w:tcW w:w="1843" w:type="dxa"/>
            <w:tcBorders>
              <w:top w:val="nil"/>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40cm*60cm</w:t>
            </w:r>
          </w:p>
        </w:tc>
        <w:tc>
          <w:tcPr>
            <w:tcW w:w="567" w:type="dxa"/>
            <w:tcBorders>
              <w:top w:val="nil"/>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箱</w:t>
            </w:r>
          </w:p>
        </w:tc>
        <w:tc>
          <w:tcPr>
            <w:tcW w:w="432"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20</w:t>
            </w:r>
          </w:p>
        </w:tc>
        <w:tc>
          <w:tcPr>
            <w:tcW w:w="474"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药品储存室</w:t>
            </w:r>
          </w:p>
        </w:tc>
        <w:tc>
          <w:tcPr>
            <w:tcW w:w="565"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二楼</w:t>
            </w:r>
          </w:p>
        </w:tc>
      </w:tr>
      <w:tr>
        <w:tblPrEx>
          <w:tblCellMar>
            <w:top w:w="0" w:type="dxa"/>
            <w:left w:w="0" w:type="dxa"/>
            <w:bottom w:w="0" w:type="dxa"/>
            <w:right w:w="0" w:type="dxa"/>
          </w:tblCellMar>
        </w:tblPrEx>
        <w:trPr>
          <w:gridAfter w:val="1"/>
          <w:wAfter w:w="1256" w:type="dxa"/>
          <w:trHeight w:val="560" w:hRule="atLeast"/>
        </w:trPr>
        <w:tc>
          <w:tcPr>
            <w:tcW w:w="346" w:type="dxa"/>
            <w:tcBorders>
              <w:top w:val="nil"/>
              <w:left w:val="single" w:color="auto" w:sz="4" w:space="0"/>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46</w:t>
            </w:r>
          </w:p>
        </w:tc>
        <w:tc>
          <w:tcPr>
            <w:tcW w:w="2650" w:type="dxa"/>
            <w:tcBorders>
              <w:top w:val="single" w:color="auto" w:sz="4" w:space="0"/>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实验用气瓶</w:t>
            </w:r>
          </w:p>
        </w:tc>
        <w:tc>
          <w:tcPr>
            <w:tcW w:w="2044"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　</w:t>
            </w:r>
          </w:p>
        </w:tc>
        <w:tc>
          <w:tcPr>
            <w:tcW w:w="1843" w:type="dxa"/>
            <w:tcBorders>
              <w:top w:val="nil"/>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w:t>
            </w:r>
          </w:p>
        </w:tc>
        <w:tc>
          <w:tcPr>
            <w:tcW w:w="567" w:type="dxa"/>
            <w:tcBorders>
              <w:top w:val="nil"/>
              <w:left w:val="nil"/>
              <w:bottom w:val="single" w:color="auto" w:sz="4" w:space="0"/>
              <w:right w:val="single" w:color="auto" w:sz="4" w:space="0"/>
            </w:tcBorders>
            <w:noWrap/>
            <w:vAlign w:val="center"/>
          </w:tcPr>
          <w:p>
            <w:pPr>
              <w:widowControl/>
              <w:jc w:val="center"/>
              <w:rPr>
                <w:sz w:val="22"/>
                <w:szCs w:val="22"/>
                <w:highlight w:val="none"/>
              </w:rPr>
            </w:pPr>
            <w:r>
              <w:rPr>
                <w:rFonts w:hint="eastAsia"/>
                <w:sz w:val="22"/>
                <w:szCs w:val="22"/>
                <w:highlight w:val="none"/>
              </w:rPr>
              <w:t>氮气、氩气、氦气、氢气、空气40L</w:t>
            </w:r>
          </w:p>
        </w:tc>
        <w:tc>
          <w:tcPr>
            <w:tcW w:w="432"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瓶</w:t>
            </w:r>
          </w:p>
        </w:tc>
        <w:tc>
          <w:tcPr>
            <w:tcW w:w="474"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20</w:t>
            </w:r>
          </w:p>
        </w:tc>
        <w:tc>
          <w:tcPr>
            <w:tcW w:w="565" w:type="dxa"/>
            <w:tcBorders>
              <w:top w:val="nil"/>
              <w:left w:val="nil"/>
              <w:bottom w:val="single" w:color="auto" w:sz="4" w:space="0"/>
              <w:right w:val="single" w:color="auto" w:sz="4" w:space="0"/>
            </w:tcBorders>
            <w:vAlign w:val="center"/>
          </w:tcPr>
          <w:p>
            <w:pPr>
              <w:widowControl/>
              <w:jc w:val="center"/>
              <w:rPr>
                <w:sz w:val="22"/>
                <w:szCs w:val="22"/>
                <w:highlight w:val="none"/>
              </w:rPr>
            </w:pPr>
            <w:r>
              <w:rPr>
                <w:rFonts w:hint="eastAsia"/>
                <w:sz w:val="22"/>
                <w:szCs w:val="22"/>
                <w:highlight w:val="none"/>
              </w:rPr>
              <w:t>药品储存室</w:t>
            </w:r>
          </w:p>
        </w:tc>
      </w:tr>
    </w:tbl>
    <w:tbl>
      <w:tblPr>
        <w:tblStyle w:val="8"/>
        <w:tblpPr w:leftFromText="180" w:rightFromText="180" w:vertAnchor="text" w:horzAnchor="margin" w:tblpXSpec="center" w:tblpY="-8549"/>
        <w:tblW w:w="9896" w:type="dxa"/>
        <w:tblInd w:w="0" w:type="dxa"/>
        <w:tblLayout w:type="fixed"/>
        <w:tblCellMar>
          <w:top w:w="0" w:type="dxa"/>
          <w:left w:w="0" w:type="dxa"/>
          <w:bottom w:w="0" w:type="dxa"/>
          <w:right w:w="0" w:type="dxa"/>
        </w:tblCellMar>
      </w:tblPr>
      <w:tblGrid>
        <w:gridCol w:w="519"/>
        <w:gridCol w:w="1643"/>
        <w:gridCol w:w="25"/>
        <w:gridCol w:w="1764"/>
        <w:gridCol w:w="2712"/>
        <w:gridCol w:w="708"/>
        <w:gridCol w:w="709"/>
        <w:gridCol w:w="1021"/>
        <w:gridCol w:w="770"/>
        <w:gridCol w:w="25"/>
      </w:tblGrid>
      <w:tr>
        <w:tblPrEx>
          <w:tblCellMar>
            <w:top w:w="0" w:type="dxa"/>
            <w:left w:w="0" w:type="dxa"/>
            <w:bottom w:w="0" w:type="dxa"/>
            <w:right w:w="0" w:type="dxa"/>
          </w:tblCellMar>
        </w:tblPrEx>
        <w:trPr>
          <w:gridAfter w:val="1"/>
          <w:wAfter w:w="25" w:type="dxa"/>
          <w:trHeight w:val="900" w:hRule="atLeast"/>
        </w:trPr>
        <w:tc>
          <w:tcPr>
            <w:tcW w:w="9871" w:type="dxa"/>
            <w:gridSpan w:val="9"/>
            <w:tcBorders>
              <w:top w:val="nil"/>
              <w:left w:val="nil"/>
              <w:bottom w:val="nil"/>
              <w:right w:val="nil"/>
            </w:tcBorders>
            <w:vAlign w:val="center"/>
          </w:tcPr>
          <w:p>
            <w:pPr>
              <w:widowControl/>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武夷山基地搬迁物品清单2（普通仪器设备、办公家具类）</w:t>
            </w:r>
          </w:p>
        </w:tc>
      </w:tr>
      <w:tr>
        <w:tblPrEx>
          <w:tblCellMar>
            <w:top w:w="0" w:type="dxa"/>
            <w:left w:w="0" w:type="dxa"/>
            <w:bottom w:w="0" w:type="dxa"/>
            <w:right w:w="0" w:type="dxa"/>
          </w:tblCellMar>
        </w:tblPrEx>
        <w:trPr>
          <w:gridAfter w:val="1"/>
          <w:wAfter w:w="25" w:type="dxa"/>
          <w:trHeight w:val="521" w:hRule="atLeast"/>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序号</w:t>
            </w:r>
          </w:p>
        </w:tc>
        <w:tc>
          <w:tcPr>
            <w:tcW w:w="1668"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资产名称</w:t>
            </w:r>
          </w:p>
        </w:tc>
        <w:tc>
          <w:tcPr>
            <w:tcW w:w="1764" w:type="dxa"/>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生产厂家</w:t>
            </w:r>
          </w:p>
        </w:tc>
        <w:tc>
          <w:tcPr>
            <w:tcW w:w="2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型号规格</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单位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数量</w:t>
            </w:r>
          </w:p>
        </w:tc>
        <w:tc>
          <w:tcPr>
            <w:tcW w:w="102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放置地点</w:t>
            </w:r>
          </w:p>
        </w:tc>
        <w:tc>
          <w:tcPr>
            <w:tcW w:w="7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ascii="宋体" w:hAnsi="宋体" w:eastAsia="宋体" w:cs="宋体"/>
                <w:spacing w:val="8"/>
                <w:sz w:val="24"/>
                <w:highlight w:val="none"/>
                <w:lang w:eastAsia="en-US"/>
              </w:rPr>
              <w:t>备注</w:t>
            </w:r>
          </w:p>
        </w:tc>
      </w:tr>
      <w:tr>
        <w:tblPrEx>
          <w:tblCellMar>
            <w:top w:w="0" w:type="dxa"/>
            <w:left w:w="0" w:type="dxa"/>
            <w:bottom w:w="0" w:type="dxa"/>
            <w:right w:w="0" w:type="dxa"/>
          </w:tblCellMar>
        </w:tblPrEx>
        <w:trPr>
          <w:trHeight w:val="280" w:hRule="atLeast"/>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166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spacing w:val="8"/>
                <w:sz w:val="24"/>
                <w:highlight w:val="none"/>
                <w:lang w:eastAsia="en-US"/>
              </w:rPr>
            </w:pPr>
          </w:p>
        </w:tc>
        <w:tc>
          <w:tcPr>
            <w:tcW w:w="1764" w:type="dxa"/>
            <w:vMerge w:val="continue"/>
            <w:tcBorders>
              <w:top w:val="single" w:color="auto" w:sz="4" w:space="0"/>
              <w:left w:val="nil"/>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27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102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77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25" w:type="dxa"/>
            <w:tcBorders>
              <w:top w:val="nil"/>
              <w:left w:val="nil"/>
              <w:bottom w:val="nil"/>
              <w:right w:val="nil"/>
            </w:tcBorders>
            <w:noWrap/>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75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台式离心机</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湖南湘仪实验仪器开发有限公司</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TG16-WS</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均质器</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广州艾卡</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IKA18T</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微生物检验室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研磨仪</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北京格瑞德曼</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TW-100</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离心机</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湖南湘仪实验仪器开发有限公司</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TG16-WS</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5</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高速离心机</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湖南湘仪实验仪器开发有限公司</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TG16-WS</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6</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自动样品振荡器</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上海净信</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Tissuelyser-961</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7</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自动样品振荡器</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上海净信</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Tissuelyser-961</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8</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超声清洗器</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小美超声仪器有限公司</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XM5200-UVF</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9</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超声清洗器</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rPr>
            </w:pPr>
            <w:r>
              <w:rPr>
                <w:rFonts w:hint="eastAsia"/>
                <w:sz w:val="22"/>
                <w:szCs w:val="22"/>
                <w:highlight w:val="none"/>
              </w:rPr>
              <w:t>小美超声仪器有限公司</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XM5200-UVF</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10</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电冰箱</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海尔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BCD-170WDPT</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11</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电冰箱</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海尔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BCD-170WDPT</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12</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电冰箱</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海尔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BCD-195KAZ</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13</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冰柜</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海尔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FCD-161XMP</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感官室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一楼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14</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戴尔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成铭 3980（B）</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主任室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15</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戴尔</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成铭 3980（B）</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茶检一室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16</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联想</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开天M613B</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17</w:t>
            </w:r>
          </w:p>
        </w:tc>
        <w:tc>
          <w:tcPr>
            <w:tcW w:w="16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联想</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18"/>
                <w:szCs w:val="18"/>
                <w:highlight w:val="none"/>
              </w:rPr>
              <w:t>开天M730Z+ThinkVision TE23-无10</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18</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联想</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18"/>
                <w:szCs w:val="18"/>
                <w:highlight w:val="none"/>
              </w:rPr>
              <w:t>开天M730Z+ThinkVision TE23-无10</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19</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海尔</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18"/>
                <w:szCs w:val="18"/>
                <w:highlight w:val="none"/>
              </w:rPr>
              <w:t>博越 LX12-Z0284+HaierHT-无</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茶检一室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20</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海尔</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18"/>
                <w:szCs w:val="18"/>
                <w:highlight w:val="none"/>
              </w:rPr>
              <w:t>博越 LX12-Z0284+HaierHT-无</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茶检一室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21</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激光打印机</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惠普</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HP Laserjet M1005 MFP</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台</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主任室</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22</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黑白激光多功能一体机</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联想</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GM265DN</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台</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茶检二室</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23</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消毒柜</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容声</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380-RD305</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台</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感官室</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一楼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24</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除湿机</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美的</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CF70BD/N8DL1</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台</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化验室二室</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w:t>
            </w:r>
          </w:p>
        </w:tc>
      </w:tr>
      <w:tr>
        <w:tblPrEx>
          <w:tblCellMar>
            <w:top w:w="0" w:type="dxa"/>
            <w:left w:w="0" w:type="dxa"/>
            <w:bottom w:w="0" w:type="dxa"/>
            <w:right w:w="0" w:type="dxa"/>
          </w:tblCellMar>
        </w:tblPrEx>
        <w:trPr>
          <w:trHeight w:val="78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25</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移液器</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100ul</w:t>
            </w:r>
          </w:p>
        </w:tc>
        <w:tc>
          <w:tcPr>
            <w:tcW w:w="708"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把</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化验室一室</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5</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26</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移液器</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500-5000ul</w:t>
            </w:r>
          </w:p>
        </w:tc>
        <w:tc>
          <w:tcPr>
            <w:tcW w:w="708"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把</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化验室一室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tcPr>
          <w:p>
            <w:pPr>
              <w:widowControl/>
              <w:jc w:val="center"/>
              <w:rPr>
                <w:rFonts w:ascii="宋体" w:hAnsi="宋体" w:eastAsia="宋体" w:cs="宋体"/>
                <w:spacing w:val="8"/>
                <w:sz w:val="24"/>
                <w:highlight w:val="none"/>
                <w:lang w:eastAsia="en-US"/>
              </w:rPr>
            </w:pPr>
            <w:r>
              <w:rPr>
                <w:rFonts w:hint="eastAsia"/>
                <w:highlight w:val="none"/>
              </w:rPr>
              <w:t>二楼</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27</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温湿度计</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天津凤洋仪器仪表工贸公司</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TH-602F</w:t>
            </w:r>
          </w:p>
        </w:tc>
        <w:tc>
          <w:tcPr>
            <w:tcW w:w="708"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个</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3</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tcPr>
          <w:p>
            <w:pPr>
              <w:widowControl/>
              <w:jc w:val="center"/>
              <w:rPr>
                <w:rFonts w:ascii="宋体" w:hAnsi="宋体" w:eastAsia="宋体" w:cs="宋体"/>
                <w:spacing w:val="8"/>
                <w:sz w:val="24"/>
                <w:highlight w:val="none"/>
                <w:lang w:eastAsia="en-US"/>
              </w:rPr>
            </w:pPr>
            <w:r>
              <w:rPr>
                <w:rFonts w:hint="eastAsia"/>
                <w:highlight w:val="none"/>
              </w:rPr>
              <w:t>二楼</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28</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温湿度计</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天津凤洋仪器仪表工贸公司</w:t>
            </w:r>
          </w:p>
        </w:tc>
        <w:tc>
          <w:tcPr>
            <w:tcW w:w="2712"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rPr>
            </w:pPr>
            <w:r>
              <w:rPr>
                <w:rFonts w:hint="eastAsia"/>
                <w:highlight w:val="none"/>
              </w:rPr>
              <w:t>WS-1</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个</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4</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tcPr>
          <w:p>
            <w:pPr>
              <w:widowControl/>
              <w:jc w:val="center"/>
              <w:rPr>
                <w:rFonts w:ascii="宋体" w:hAnsi="宋体" w:eastAsia="宋体" w:cs="宋体"/>
                <w:spacing w:val="8"/>
                <w:sz w:val="24"/>
                <w:highlight w:val="none"/>
                <w:lang w:eastAsia="en-US"/>
              </w:rPr>
            </w:pPr>
            <w:r>
              <w:rPr>
                <w:rFonts w:hint="eastAsia"/>
                <w:highlight w:val="none"/>
              </w:rPr>
              <w:t>二楼</w:t>
            </w:r>
          </w:p>
        </w:tc>
      </w:tr>
      <w:tr>
        <w:tblPrEx>
          <w:tblCellMar>
            <w:top w:w="0" w:type="dxa"/>
            <w:left w:w="0" w:type="dxa"/>
            <w:bottom w:w="0" w:type="dxa"/>
            <w:right w:w="0" w:type="dxa"/>
          </w:tblCellMar>
        </w:tblPrEx>
        <w:trPr>
          <w:trHeight w:val="84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29</w:t>
            </w:r>
          </w:p>
        </w:tc>
        <w:tc>
          <w:tcPr>
            <w:tcW w:w="1643" w:type="dxa"/>
            <w:tcBorders>
              <w:top w:val="nil"/>
              <w:left w:val="nil"/>
              <w:bottom w:val="single" w:color="auto" w:sz="4" w:space="0"/>
              <w:right w:val="nil"/>
            </w:tcBorders>
          </w:tcPr>
          <w:p>
            <w:pPr>
              <w:widowControl/>
              <w:jc w:val="center"/>
              <w:rPr>
                <w:rFonts w:ascii="宋体" w:hAnsi="宋体" w:eastAsia="宋体" w:cs="宋体"/>
                <w:spacing w:val="8"/>
                <w:sz w:val="24"/>
                <w:highlight w:val="none"/>
                <w:lang w:eastAsia="en-US"/>
              </w:rPr>
            </w:pPr>
            <w:r>
              <w:rPr>
                <w:rFonts w:hint="eastAsia"/>
                <w:highlight w:val="none"/>
              </w:rPr>
              <w:t>钢直尺</w:t>
            </w:r>
          </w:p>
        </w:tc>
        <w:tc>
          <w:tcPr>
            <w:tcW w:w="25"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科信</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（0~500）mm</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把</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770"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30</w:t>
            </w:r>
          </w:p>
        </w:tc>
        <w:tc>
          <w:tcPr>
            <w:tcW w:w="1668" w:type="dxa"/>
            <w:gridSpan w:val="2"/>
            <w:tcBorders>
              <w:top w:val="single" w:color="auto" w:sz="4" w:space="0"/>
              <w:left w:val="nil"/>
              <w:bottom w:val="single" w:color="auto" w:sz="4" w:space="0"/>
              <w:right w:val="single" w:color="000000" w:sz="4" w:space="0"/>
            </w:tcBorders>
          </w:tcPr>
          <w:p>
            <w:pPr>
              <w:widowControl/>
              <w:jc w:val="center"/>
              <w:rPr>
                <w:rFonts w:ascii="宋体" w:hAnsi="宋体" w:eastAsia="宋体" w:cs="宋体"/>
                <w:spacing w:val="8"/>
                <w:sz w:val="24"/>
                <w:highlight w:val="none"/>
                <w:lang w:eastAsia="en-US"/>
              </w:rPr>
            </w:pPr>
            <w:r>
              <w:rPr>
                <w:rFonts w:hint="eastAsia"/>
                <w:highlight w:val="none"/>
              </w:rPr>
              <w:t>温湿度计</w:t>
            </w:r>
          </w:p>
        </w:tc>
        <w:tc>
          <w:tcPr>
            <w:tcW w:w="1764"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rPr>
            </w:pPr>
            <w:r>
              <w:rPr>
                <w:rFonts w:hint="eastAsia"/>
                <w:highlight w:val="none"/>
              </w:rPr>
              <w:t>/</w:t>
            </w:r>
          </w:p>
        </w:tc>
        <w:tc>
          <w:tcPr>
            <w:tcW w:w="2712"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JDWS-A8</w:t>
            </w:r>
          </w:p>
        </w:tc>
        <w:tc>
          <w:tcPr>
            <w:tcW w:w="708" w:type="dxa"/>
            <w:tcBorders>
              <w:top w:val="nil"/>
              <w:left w:val="nil"/>
              <w:bottom w:val="single" w:color="auto" w:sz="4" w:space="0"/>
              <w:right w:val="single" w:color="auto" w:sz="4" w:space="0"/>
            </w:tcBorders>
            <w:noWrap/>
          </w:tcPr>
          <w:p>
            <w:pPr>
              <w:widowControl/>
              <w:jc w:val="center"/>
              <w:rPr>
                <w:rFonts w:ascii="宋体" w:hAnsi="宋体" w:eastAsia="宋体" w:cs="宋体"/>
                <w:spacing w:val="8"/>
                <w:sz w:val="24"/>
                <w:highlight w:val="none"/>
                <w:lang w:eastAsia="en-US"/>
              </w:rPr>
            </w:pPr>
            <w:r>
              <w:rPr>
                <w:rFonts w:hint="eastAsia"/>
                <w:highlight w:val="none"/>
              </w:rPr>
              <w:t>个</w:t>
            </w:r>
          </w:p>
        </w:tc>
        <w:tc>
          <w:tcPr>
            <w:tcW w:w="709"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5</w:t>
            </w:r>
          </w:p>
        </w:tc>
        <w:tc>
          <w:tcPr>
            <w:tcW w:w="1021" w:type="dxa"/>
            <w:tcBorders>
              <w:top w:val="nil"/>
              <w:left w:val="nil"/>
              <w:bottom w:val="single" w:color="auto" w:sz="4" w:space="0"/>
              <w:right w:val="single" w:color="auto" w:sz="4" w:space="0"/>
            </w:tcBorders>
          </w:tcPr>
          <w:p>
            <w:pPr>
              <w:widowControl/>
              <w:jc w:val="center"/>
              <w:rPr>
                <w:rFonts w:ascii="宋体" w:hAnsi="宋体" w:eastAsia="宋体" w:cs="宋体"/>
                <w:spacing w:val="8"/>
                <w:sz w:val="24"/>
                <w:highlight w:val="none"/>
                <w:lang w:eastAsia="en-US"/>
              </w:rPr>
            </w:pPr>
            <w:r>
              <w:rPr>
                <w:rFonts w:hint="eastAsia"/>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tcPr>
          <w:p>
            <w:pPr>
              <w:widowControl/>
              <w:jc w:val="center"/>
              <w:rPr>
                <w:rFonts w:ascii="宋体" w:hAnsi="宋体" w:eastAsia="宋体" w:cs="宋体"/>
                <w:spacing w:val="8"/>
                <w:sz w:val="24"/>
                <w:highlight w:val="none"/>
                <w:lang w:eastAsia="en-US"/>
              </w:rPr>
            </w:pPr>
            <w:r>
              <w:rPr>
                <w:rFonts w:hint="eastAsia"/>
                <w:highlight w:val="none"/>
              </w:rPr>
              <w:t>二楼</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31</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样品柜</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90cm*180cm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31</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32</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文件柜</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90cm*180cm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分析一、二室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32</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33</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更衣柜</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90cm*180cm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化验室二室、微生物室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33</w:t>
            </w:r>
          </w:p>
        </w:tc>
      </w:tr>
      <w:tr>
        <w:tblPrEx>
          <w:tblCellMar>
            <w:top w:w="0" w:type="dxa"/>
            <w:left w:w="0" w:type="dxa"/>
            <w:bottom w:w="0" w:type="dxa"/>
            <w:right w:w="0" w:type="dxa"/>
          </w:tblCellMar>
        </w:tblPrEx>
        <w:trPr>
          <w:trHeight w:val="78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34</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铁皮柜</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90cm*40cm</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分析二室、收样室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一、三楼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34</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35</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兄弟</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brother DCP-7180DN</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档案室、茶检一室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35</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36</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电子万用炉</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沪兴电热电器厂</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FuXING 3KW</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36</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37</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惠普</w:t>
            </w:r>
          </w:p>
        </w:tc>
        <w:tc>
          <w:tcPr>
            <w:tcW w:w="2712"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HP Laserjet P1008</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办公室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37</w:t>
            </w:r>
          </w:p>
        </w:tc>
      </w:tr>
      <w:tr>
        <w:tblPrEx>
          <w:tblCellMar>
            <w:top w:w="0" w:type="dxa"/>
            <w:left w:w="0" w:type="dxa"/>
            <w:bottom w:w="0" w:type="dxa"/>
            <w:right w:w="0" w:type="dxa"/>
          </w:tblCellMar>
        </w:tblPrEx>
        <w:trPr>
          <w:trHeight w:val="84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38</w:t>
            </w:r>
          </w:p>
        </w:tc>
        <w:tc>
          <w:tcPr>
            <w:tcW w:w="1643" w:type="dxa"/>
            <w:tcBorders>
              <w:top w:val="nil"/>
              <w:left w:val="nil"/>
              <w:bottom w:val="single" w:color="auto" w:sz="4" w:space="0"/>
              <w:right w:val="nil"/>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酸缸</w:t>
            </w:r>
          </w:p>
        </w:tc>
        <w:tc>
          <w:tcPr>
            <w:tcW w:w="25"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35cm*50cm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39</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办公桌、椅</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70cm*140cm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张</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5</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办公室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39</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40</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干燥器</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40cm/40cm/30cm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个</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3</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化验室二室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二楼</w:t>
            </w:r>
          </w:p>
        </w:tc>
        <w:tc>
          <w:tcPr>
            <w:tcW w:w="25" w:type="dxa"/>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40</w:t>
            </w: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41</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感官审评用具</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40cm*60cm</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箱</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感官室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一楼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42</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A4纸</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亚太森博（广东）纸业有限公司</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箱</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5</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仓库</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78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43</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办公用品</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40cm*60cm</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箱</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5</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档案室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44</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台式电脑</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联想</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开天</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2</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档案室、茶检一室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r>
        <w:tblPrEx>
          <w:tblCellMar>
            <w:top w:w="0" w:type="dxa"/>
            <w:left w:w="0" w:type="dxa"/>
            <w:bottom w:w="0" w:type="dxa"/>
            <w:right w:w="0" w:type="dxa"/>
          </w:tblCellMar>
        </w:tblPrEx>
        <w:trPr>
          <w:trHeight w:val="500" w:hRule="atLeast"/>
        </w:trPr>
        <w:tc>
          <w:tcPr>
            <w:tcW w:w="51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pacing w:val="8"/>
                <w:sz w:val="24"/>
                <w:highlight w:val="none"/>
              </w:rPr>
            </w:pPr>
            <w:r>
              <w:rPr>
                <w:rFonts w:hint="eastAsia"/>
                <w:sz w:val="22"/>
                <w:szCs w:val="22"/>
                <w:highlight w:val="none"/>
              </w:rPr>
              <w:t>45</w:t>
            </w:r>
          </w:p>
        </w:tc>
        <w:tc>
          <w:tcPr>
            <w:tcW w:w="166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打印机</w:t>
            </w:r>
          </w:p>
        </w:tc>
        <w:tc>
          <w:tcPr>
            <w:tcW w:w="1764"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兄弟</w:t>
            </w:r>
          </w:p>
        </w:tc>
        <w:tc>
          <w:tcPr>
            <w:tcW w:w="2712"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HL-L3228CDW</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台</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1</w:t>
            </w:r>
          </w:p>
        </w:tc>
        <w:tc>
          <w:tcPr>
            <w:tcW w:w="1021"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档案室</w:t>
            </w:r>
          </w:p>
        </w:tc>
        <w:tc>
          <w:tcPr>
            <w:tcW w:w="770" w:type="dxa"/>
            <w:tcBorders>
              <w:top w:val="nil"/>
              <w:left w:val="nil"/>
              <w:bottom w:val="single" w:color="auto" w:sz="4" w:space="0"/>
              <w:right w:val="single" w:color="auto" w:sz="4" w:space="0"/>
            </w:tcBorders>
            <w:vAlign w:val="center"/>
          </w:tcPr>
          <w:p>
            <w:pPr>
              <w:widowControl/>
              <w:jc w:val="center"/>
              <w:rPr>
                <w:rFonts w:ascii="宋体" w:hAnsi="宋体" w:eastAsia="宋体" w:cs="宋体"/>
                <w:spacing w:val="8"/>
                <w:sz w:val="24"/>
                <w:highlight w:val="none"/>
                <w:lang w:eastAsia="en-US"/>
              </w:rPr>
            </w:pPr>
            <w:r>
              <w:rPr>
                <w:rFonts w:hint="eastAsia"/>
                <w:sz w:val="22"/>
                <w:szCs w:val="22"/>
                <w:highlight w:val="none"/>
              </w:rPr>
              <w:t>三楼</w:t>
            </w:r>
          </w:p>
        </w:tc>
        <w:tc>
          <w:tcPr>
            <w:tcW w:w="25" w:type="dxa"/>
            <w:vAlign w:val="center"/>
          </w:tcPr>
          <w:p>
            <w:pPr>
              <w:widowControl/>
              <w:jc w:val="center"/>
              <w:rPr>
                <w:rFonts w:ascii="宋体" w:hAnsi="宋体" w:eastAsia="宋体" w:cs="宋体"/>
                <w:spacing w:val="8"/>
                <w:sz w:val="24"/>
                <w:highlight w:val="none"/>
                <w:lang w:eastAsia="en-US"/>
              </w:rPr>
            </w:pPr>
          </w:p>
        </w:tc>
      </w:tr>
    </w:tbl>
    <w:p>
      <w:pPr>
        <w:pStyle w:val="2"/>
        <w:framePr w:hSpace="180" w:wrap="notBeside" w:vAnchor="text" w:hAnchor="margin" w:xAlign="center" w:y="-8549"/>
        <w:tabs>
          <w:tab w:val="left" w:pos="567"/>
        </w:tabs>
        <w:spacing w:line="360" w:lineRule="auto"/>
        <w:rPr>
          <w:b/>
          <w:bCs/>
          <w:spacing w:val="7"/>
          <w:highlight w:val="none"/>
        </w:rPr>
      </w:pPr>
    </w:p>
    <w:p>
      <w:pPr>
        <w:pStyle w:val="2"/>
        <w:tabs>
          <w:tab w:val="left" w:pos="567"/>
        </w:tabs>
        <w:spacing w:line="360" w:lineRule="auto"/>
        <w:rPr>
          <w:b/>
          <w:bCs/>
          <w:spacing w:val="7"/>
          <w:highlight w:val="none"/>
        </w:rPr>
      </w:pPr>
    </w:p>
    <w:p>
      <w:pPr>
        <w:pStyle w:val="2"/>
        <w:tabs>
          <w:tab w:val="left" w:pos="567"/>
        </w:tabs>
        <w:spacing w:line="360" w:lineRule="auto"/>
        <w:rPr>
          <w:b/>
          <w:bCs/>
          <w:spacing w:val="7"/>
          <w:highlight w:val="none"/>
        </w:rPr>
      </w:pPr>
    </w:p>
    <w:p>
      <w:pPr>
        <w:widowControl/>
        <w:numPr>
          <w:ilvl w:val="255"/>
          <w:numId w:val="0"/>
        </w:numPr>
        <w:jc w:val="left"/>
        <w:rPr>
          <w:highlight w:val="none"/>
        </w:rPr>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1" w:fontKey="{26C7C71C-69F8-4985-BC8C-4B721A712E81}"/>
  </w:font>
  <w:font w:name="仿宋_GB2312">
    <w:panose1 w:val="02010609030101010101"/>
    <w:charset w:val="86"/>
    <w:family w:val="modern"/>
    <w:pitch w:val="default"/>
    <w:sig w:usb0="00000001" w:usb1="080E0000" w:usb2="00000000" w:usb3="00000000" w:csb0="00040000" w:csb1="00000000"/>
    <w:embedRegular r:id="rId2" w:fontKey="{99B7A497-3189-46CA-96C2-DB739080B12D}"/>
  </w:font>
  <w:font w:name="等线">
    <w:panose1 w:val="02010600030101010101"/>
    <w:charset w:val="86"/>
    <w:family w:val="auto"/>
    <w:pitch w:val="default"/>
    <w:sig w:usb0="A00002BF" w:usb1="38CF7CFA" w:usb2="00000016" w:usb3="00000000" w:csb0="0004000F" w:csb1="00000000"/>
    <w:embedRegular r:id="rId3" w:fontKey="{EC895616-78EA-4FB3-921F-4C916D1CEF3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晓雷">
    <w15:presenceInfo w15:providerId="None" w15:userId="赵晓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A"/>
    <w:rsid w:val="000361BD"/>
    <w:rsid w:val="000C0957"/>
    <w:rsid w:val="0015343E"/>
    <w:rsid w:val="001A2A2B"/>
    <w:rsid w:val="001C6E70"/>
    <w:rsid w:val="001E1729"/>
    <w:rsid w:val="002F24EC"/>
    <w:rsid w:val="003A2DF7"/>
    <w:rsid w:val="003F5279"/>
    <w:rsid w:val="00463593"/>
    <w:rsid w:val="004841B9"/>
    <w:rsid w:val="005D0818"/>
    <w:rsid w:val="005D253F"/>
    <w:rsid w:val="005F6EAC"/>
    <w:rsid w:val="00637E01"/>
    <w:rsid w:val="006406BC"/>
    <w:rsid w:val="00645D1B"/>
    <w:rsid w:val="006F4590"/>
    <w:rsid w:val="00703E9E"/>
    <w:rsid w:val="00887337"/>
    <w:rsid w:val="00917388"/>
    <w:rsid w:val="00997AE0"/>
    <w:rsid w:val="009B7106"/>
    <w:rsid w:val="00A33BEA"/>
    <w:rsid w:val="00A43A2D"/>
    <w:rsid w:val="00A5662D"/>
    <w:rsid w:val="00A77946"/>
    <w:rsid w:val="00AA6DEA"/>
    <w:rsid w:val="00AC13E6"/>
    <w:rsid w:val="00B0586F"/>
    <w:rsid w:val="00B420B4"/>
    <w:rsid w:val="00B47607"/>
    <w:rsid w:val="00B62D14"/>
    <w:rsid w:val="00B732FA"/>
    <w:rsid w:val="00BB24C1"/>
    <w:rsid w:val="00BD7AC0"/>
    <w:rsid w:val="00C00621"/>
    <w:rsid w:val="00C31144"/>
    <w:rsid w:val="00C35010"/>
    <w:rsid w:val="00C60C88"/>
    <w:rsid w:val="00C967D6"/>
    <w:rsid w:val="00C96F90"/>
    <w:rsid w:val="00CA49C7"/>
    <w:rsid w:val="00D736C0"/>
    <w:rsid w:val="00D779A8"/>
    <w:rsid w:val="00DA2DFD"/>
    <w:rsid w:val="00E038D4"/>
    <w:rsid w:val="00E87098"/>
    <w:rsid w:val="00EA2B42"/>
    <w:rsid w:val="00F20A0F"/>
    <w:rsid w:val="00F75B3C"/>
    <w:rsid w:val="00F93B89"/>
    <w:rsid w:val="00FA237B"/>
    <w:rsid w:val="00FD44D2"/>
    <w:rsid w:val="00FE1BD5"/>
    <w:rsid w:val="033A16AA"/>
    <w:rsid w:val="04AA7AB6"/>
    <w:rsid w:val="04B251AB"/>
    <w:rsid w:val="05176DE6"/>
    <w:rsid w:val="06B546E4"/>
    <w:rsid w:val="077730CD"/>
    <w:rsid w:val="07F5179D"/>
    <w:rsid w:val="082038E6"/>
    <w:rsid w:val="0878250E"/>
    <w:rsid w:val="08C8475D"/>
    <w:rsid w:val="0A49096C"/>
    <w:rsid w:val="0A6C6EAD"/>
    <w:rsid w:val="0B731A1D"/>
    <w:rsid w:val="0B752658"/>
    <w:rsid w:val="0B921161"/>
    <w:rsid w:val="0C1D11D3"/>
    <w:rsid w:val="0C811890"/>
    <w:rsid w:val="0CBD16F5"/>
    <w:rsid w:val="0CF62B54"/>
    <w:rsid w:val="0D180B0A"/>
    <w:rsid w:val="0D285521"/>
    <w:rsid w:val="0DEA55DF"/>
    <w:rsid w:val="0DF85BFA"/>
    <w:rsid w:val="0DFC36AD"/>
    <w:rsid w:val="0E3F056D"/>
    <w:rsid w:val="0E4F021D"/>
    <w:rsid w:val="0E591116"/>
    <w:rsid w:val="0EBA4751"/>
    <w:rsid w:val="0F126346"/>
    <w:rsid w:val="0F8A2B0D"/>
    <w:rsid w:val="0FBD2063"/>
    <w:rsid w:val="0FF56939"/>
    <w:rsid w:val="10F64CD4"/>
    <w:rsid w:val="11566901"/>
    <w:rsid w:val="11BB76C3"/>
    <w:rsid w:val="11BE502B"/>
    <w:rsid w:val="11E3395D"/>
    <w:rsid w:val="11E670E9"/>
    <w:rsid w:val="12B87441"/>
    <w:rsid w:val="13216E71"/>
    <w:rsid w:val="1322106F"/>
    <w:rsid w:val="13837E0F"/>
    <w:rsid w:val="13BD2572"/>
    <w:rsid w:val="14861FBB"/>
    <w:rsid w:val="14FE662B"/>
    <w:rsid w:val="156A5AB1"/>
    <w:rsid w:val="161E6859"/>
    <w:rsid w:val="16A9748A"/>
    <w:rsid w:val="16B71ED0"/>
    <w:rsid w:val="17F27AE1"/>
    <w:rsid w:val="184B7D68"/>
    <w:rsid w:val="18B1550E"/>
    <w:rsid w:val="18BE1E96"/>
    <w:rsid w:val="1B437ECC"/>
    <w:rsid w:val="1C3560D4"/>
    <w:rsid w:val="1EE35706"/>
    <w:rsid w:val="1F2332A4"/>
    <w:rsid w:val="1FAD79D0"/>
    <w:rsid w:val="1FCE3F40"/>
    <w:rsid w:val="204B3771"/>
    <w:rsid w:val="211A20DA"/>
    <w:rsid w:val="21641254"/>
    <w:rsid w:val="21DB2198"/>
    <w:rsid w:val="230511FB"/>
    <w:rsid w:val="24D6447F"/>
    <w:rsid w:val="250671CD"/>
    <w:rsid w:val="25101CDA"/>
    <w:rsid w:val="252427C9"/>
    <w:rsid w:val="252A50D3"/>
    <w:rsid w:val="2530507E"/>
    <w:rsid w:val="262772A4"/>
    <w:rsid w:val="26CB0E4D"/>
    <w:rsid w:val="28425D08"/>
    <w:rsid w:val="28A7603E"/>
    <w:rsid w:val="28B22E8E"/>
    <w:rsid w:val="28E30421"/>
    <w:rsid w:val="294B77A1"/>
    <w:rsid w:val="2AA8488A"/>
    <w:rsid w:val="2B6739C3"/>
    <w:rsid w:val="2B8C5C18"/>
    <w:rsid w:val="2B8E3883"/>
    <w:rsid w:val="2BD77907"/>
    <w:rsid w:val="2BD87008"/>
    <w:rsid w:val="2BE14826"/>
    <w:rsid w:val="2D534468"/>
    <w:rsid w:val="2E032FDC"/>
    <w:rsid w:val="2E393461"/>
    <w:rsid w:val="2E445076"/>
    <w:rsid w:val="2F074DB3"/>
    <w:rsid w:val="2F5F4AD2"/>
    <w:rsid w:val="2F7E44FF"/>
    <w:rsid w:val="2FA44F9B"/>
    <w:rsid w:val="2FAE6E78"/>
    <w:rsid w:val="2FC01FE3"/>
    <w:rsid w:val="330F5F53"/>
    <w:rsid w:val="33A9069D"/>
    <w:rsid w:val="33D0278E"/>
    <w:rsid w:val="350825B2"/>
    <w:rsid w:val="35651183"/>
    <w:rsid w:val="357220E0"/>
    <w:rsid w:val="35F97693"/>
    <w:rsid w:val="362C6010"/>
    <w:rsid w:val="364D5CE3"/>
    <w:rsid w:val="36721EAF"/>
    <w:rsid w:val="36EF2BEE"/>
    <w:rsid w:val="37406E8B"/>
    <w:rsid w:val="375458D3"/>
    <w:rsid w:val="386D1C23"/>
    <w:rsid w:val="3904414C"/>
    <w:rsid w:val="39B53A46"/>
    <w:rsid w:val="3A0478ED"/>
    <w:rsid w:val="3A46605E"/>
    <w:rsid w:val="3B4D6458"/>
    <w:rsid w:val="3CFC4E99"/>
    <w:rsid w:val="3D022626"/>
    <w:rsid w:val="3D6548C9"/>
    <w:rsid w:val="3DBD311F"/>
    <w:rsid w:val="3E9C23C7"/>
    <w:rsid w:val="3ECC2F16"/>
    <w:rsid w:val="3F4D0EE6"/>
    <w:rsid w:val="3F9D1F6A"/>
    <w:rsid w:val="4247760D"/>
    <w:rsid w:val="42F37A63"/>
    <w:rsid w:val="43656A9D"/>
    <w:rsid w:val="4400471D"/>
    <w:rsid w:val="44B96AB4"/>
    <w:rsid w:val="45AE44C7"/>
    <w:rsid w:val="45CA720B"/>
    <w:rsid w:val="463924B8"/>
    <w:rsid w:val="46BC369C"/>
    <w:rsid w:val="46F843FA"/>
    <w:rsid w:val="47B34B2D"/>
    <w:rsid w:val="488E3597"/>
    <w:rsid w:val="4A8D1C7B"/>
    <w:rsid w:val="4B1132B6"/>
    <w:rsid w:val="4B1E03CD"/>
    <w:rsid w:val="4B8678A9"/>
    <w:rsid w:val="4C190265"/>
    <w:rsid w:val="4C2C4D07"/>
    <w:rsid w:val="4C721BF8"/>
    <w:rsid w:val="4CF637FC"/>
    <w:rsid w:val="4D00688B"/>
    <w:rsid w:val="4D047BD5"/>
    <w:rsid w:val="4DB53525"/>
    <w:rsid w:val="4DE66FB2"/>
    <w:rsid w:val="4E073314"/>
    <w:rsid w:val="4E202BB9"/>
    <w:rsid w:val="4E5150B8"/>
    <w:rsid w:val="4ECB571E"/>
    <w:rsid w:val="4F5551B4"/>
    <w:rsid w:val="504C354E"/>
    <w:rsid w:val="504D0FCF"/>
    <w:rsid w:val="506C6001"/>
    <w:rsid w:val="50D92B4F"/>
    <w:rsid w:val="50EA4CDF"/>
    <w:rsid w:val="51F46D81"/>
    <w:rsid w:val="52BE7ACF"/>
    <w:rsid w:val="52D67374"/>
    <w:rsid w:val="52E1652D"/>
    <w:rsid w:val="52F9662F"/>
    <w:rsid w:val="53667E41"/>
    <w:rsid w:val="541F6411"/>
    <w:rsid w:val="55514205"/>
    <w:rsid w:val="55A91BBC"/>
    <w:rsid w:val="560E036F"/>
    <w:rsid w:val="56D133FC"/>
    <w:rsid w:val="574C6777"/>
    <w:rsid w:val="577861BC"/>
    <w:rsid w:val="582B597E"/>
    <w:rsid w:val="58EC6F6F"/>
    <w:rsid w:val="58F65E72"/>
    <w:rsid w:val="5AEF0CBE"/>
    <w:rsid w:val="5B522F61"/>
    <w:rsid w:val="5BBE0092"/>
    <w:rsid w:val="5C161795"/>
    <w:rsid w:val="5CB42BA8"/>
    <w:rsid w:val="5D07052A"/>
    <w:rsid w:val="5D206E3C"/>
    <w:rsid w:val="5D317F73"/>
    <w:rsid w:val="5E9110C6"/>
    <w:rsid w:val="5EA63358"/>
    <w:rsid w:val="5ED6B36D"/>
    <w:rsid w:val="5EE62ABD"/>
    <w:rsid w:val="5F3715C2"/>
    <w:rsid w:val="5F414956"/>
    <w:rsid w:val="5FEA7CA4"/>
    <w:rsid w:val="606A06BA"/>
    <w:rsid w:val="607544CD"/>
    <w:rsid w:val="61B07526"/>
    <w:rsid w:val="62C25536"/>
    <w:rsid w:val="62DC26BD"/>
    <w:rsid w:val="62EC0759"/>
    <w:rsid w:val="636E22FB"/>
    <w:rsid w:val="639578ED"/>
    <w:rsid w:val="64066631"/>
    <w:rsid w:val="641536BE"/>
    <w:rsid w:val="651224D3"/>
    <w:rsid w:val="6598383A"/>
    <w:rsid w:val="66B17B8A"/>
    <w:rsid w:val="66DA76CA"/>
    <w:rsid w:val="66DC6450"/>
    <w:rsid w:val="67084D16"/>
    <w:rsid w:val="67110EA9"/>
    <w:rsid w:val="6770470D"/>
    <w:rsid w:val="67A15E2D"/>
    <w:rsid w:val="67A34B94"/>
    <w:rsid w:val="67F3434E"/>
    <w:rsid w:val="68AA5747"/>
    <w:rsid w:val="68DA4C11"/>
    <w:rsid w:val="69FD541B"/>
    <w:rsid w:val="6A104C8E"/>
    <w:rsid w:val="6A357AB1"/>
    <w:rsid w:val="6ADE65E0"/>
    <w:rsid w:val="6B26209D"/>
    <w:rsid w:val="6B813B16"/>
    <w:rsid w:val="6BA37623"/>
    <w:rsid w:val="6CDD1929"/>
    <w:rsid w:val="6CDD60A6"/>
    <w:rsid w:val="6D136580"/>
    <w:rsid w:val="6D8722EA"/>
    <w:rsid w:val="6DA438F0"/>
    <w:rsid w:val="6DA55AEF"/>
    <w:rsid w:val="6DAB327B"/>
    <w:rsid w:val="6F4D0429"/>
    <w:rsid w:val="6F897436"/>
    <w:rsid w:val="6FF51B3B"/>
    <w:rsid w:val="700730DA"/>
    <w:rsid w:val="713F2DD7"/>
    <w:rsid w:val="73FB3F54"/>
    <w:rsid w:val="74EC1DD5"/>
    <w:rsid w:val="7641482F"/>
    <w:rsid w:val="765C7562"/>
    <w:rsid w:val="7780039E"/>
    <w:rsid w:val="779E794E"/>
    <w:rsid w:val="77BB2417"/>
    <w:rsid w:val="782C62B8"/>
    <w:rsid w:val="78C64A5B"/>
    <w:rsid w:val="78D13A24"/>
    <w:rsid w:val="79300FDE"/>
    <w:rsid w:val="79967A89"/>
    <w:rsid w:val="79D31AEC"/>
    <w:rsid w:val="7A622655"/>
    <w:rsid w:val="7C671AA5"/>
    <w:rsid w:val="7CAA4E7F"/>
    <w:rsid w:val="7DD8626A"/>
    <w:rsid w:val="7E48583E"/>
    <w:rsid w:val="7EE37C3B"/>
    <w:rsid w:val="7F17138E"/>
    <w:rsid w:val="7F271629"/>
    <w:rsid w:val="7F392BC8"/>
    <w:rsid w:val="7F962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5">
    <w:name w:val="Table Text"/>
    <w:basedOn w:val="1"/>
    <w:semiHidden/>
    <w:qFormat/>
    <w:uiPriority w:val="0"/>
    <w:rPr>
      <w:rFonts w:ascii="宋体" w:hAnsi="宋体" w:eastAsia="宋体" w:cs="宋体"/>
      <w:sz w:val="20"/>
      <w:szCs w:val="20"/>
      <w:lang w:eastAsia="en-US"/>
    </w:rPr>
  </w:style>
  <w:style w:type="table" w:customStyle="1" w:styleId="16">
    <w:name w:val="Table Normal"/>
    <w:unhideWhenUsed/>
    <w:qFormat/>
    <w:uiPriority w:val="2"/>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FC87-2206-4C41-910B-C4851A46EEE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1944</Words>
  <Characters>11083</Characters>
  <Lines>92</Lines>
  <Paragraphs>26</Paragraphs>
  <TotalTime>0</TotalTime>
  <ScaleCrop>false</ScaleCrop>
  <LinksUpToDate>false</LinksUpToDate>
  <CharactersWithSpaces>13001</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2026-05-05T06:16:00Z</dcterms:created>
  <dc:creator>raoyanbing</dc:creator>
  <cp:lastModifiedBy>饶衍冰</cp:lastModifiedBy>
  <dcterms:modified xsi:type="dcterms:W3CDTF">2026-06-03T08:09:10Z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FCD80FAA5F624437AF70C83412DD0681</vt:lpwstr>
  </property>
  <property fmtid="{D5CDD505-2E9C-101B-9397-08002B2CF9AE}" pid="4" name="KSOTemplateDocerSaveRecord">
    <vt:lpwstr>eyJoZGlkIjoiMDE1NDE5NTU1YTRmMTIxMDAzYWRmMmE0ZmQ1Njc3MTUiLCJ1c2VySWQiOiIzMTgxNzUwNjgifQ==</vt:lpwstr>
  </property>
</Properties>
</file>